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F19" w:rsidRPr="00962F19" w:rsidRDefault="00962F19" w:rsidP="00962F19">
      <w:pPr>
        <w:spacing w:after="0" w:line="240" w:lineRule="auto"/>
        <w:jc w:val="center"/>
        <w:rPr>
          <w:rFonts w:eastAsia="Times New Roman" w:cs="Times New Roman"/>
          <w:szCs w:val="24"/>
          <w:lang w:eastAsia="es-CO"/>
        </w:rPr>
      </w:pPr>
      <w:r w:rsidRPr="00962F19">
        <w:rPr>
          <w:rFonts w:eastAsia="Times New Roman" w:cs="Times New Roman"/>
          <w:b/>
          <w:bCs/>
          <w:szCs w:val="24"/>
          <w:lang w:eastAsia="es-CO"/>
        </w:rPr>
        <w:t>OFICIO Nº 261 [006471]</w:t>
      </w:r>
    </w:p>
    <w:p w:rsidR="00962F19" w:rsidRPr="00962F19" w:rsidRDefault="00962F19" w:rsidP="00962F19">
      <w:pPr>
        <w:spacing w:after="0" w:line="240" w:lineRule="auto"/>
        <w:jc w:val="center"/>
        <w:rPr>
          <w:rFonts w:eastAsia="Times New Roman" w:cs="Times New Roman"/>
          <w:szCs w:val="24"/>
          <w:lang w:eastAsia="es-CO"/>
        </w:rPr>
      </w:pPr>
      <w:r w:rsidRPr="00962F19">
        <w:rPr>
          <w:rFonts w:eastAsia="Times New Roman" w:cs="Times New Roman"/>
          <w:b/>
          <w:bCs/>
          <w:szCs w:val="24"/>
          <w:lang w:eastAsia="es-CO"/>
        </w:rPr>
        <w:t>14-03-2019</w:t>
      </w:r>
    </w:p>
    <w:p w:rsidR="00962F19" w:rsidRPr="00962F19" w:rsidRDefault="00962F19" w:rsidP="00962F19">
      <w:pPr>
        <w:spacing w:after="0" w:line="240" w:lineRule="auto"/>
        <w:jc w:val="center"/>
        <w:rPr>
          <w:rFonts w:eastAsia="Times New Roman" w:cs="Times New Roman"/>
          <w:szCs w:val="24"/>
          <w:lang w:eastAsia="es-CO"/>
        </w:rPr>
      </w:pPr>
      <w:r w:rsidRPr="00962F19">
        <w:rPr>
          <w:rFonts w:eastAsia="Times New Roman" w:cs="Times New Roman"/>
          <w:b/>
          <w:bCs/>
          <w:szCs w:val="24"/>
          <w:lang w:eastAsia="es-CO"/>
        </w:rPr>
        <w:t>DIAN</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Dirección de Gestión Jurídica</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100202208 – 0261</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Bogotá, D.C.</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proofErr w:type="spellStart"/>
      <w:r w:rsidRPr="00962F19">
        <w:rPr>
          <w:rFonts w:eastAsia="Times New Roman" w:cs="Times New Roman"/>
          <w:b/>
          <w:bCs/>
          <w:szCs w:val="24"/>
          <w:lang w:eastAsia="es-CO"/>
        </w:rPr>
        <w:t>Ref</w:t>
      </w:r>
      <w:proofErr w:type="spellEnd"/>
      <w:r w:rsidRPr="00962F19">
        <w:rPr>
          <w:rFonts w:eastAsia="Times New Roman" w:cs="Times New Roman"/>
          <w:b/>
          <w:bCs/>
          <w:szCs w:val="24"/>
          <w:lang w:eastAsia="es-CO"/>
        </w:rPr>
        <w:t>: </w:t>
      </w:r>
      <w:r w:rsidRPr="00962F19">
        <w:rPr>
          <w:rFonts w:eastAsia="Times New Roman" w:cs="Times New Roman"/>
          <w:szCs w:val="24"/>
          <w:lang w:eastAsia="es-CO"/>
        </w:rPr>
        <w:t>Radicados 100081889 del 10 de diciembre de dos mil dieciocho (2018) y 000461 del 21 de diciembre de dos mil dieciocho (2018).</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bl>
      <w:tblPr>
        <w:tblW w:w="0" w:type="auto"/>
        <w:tblCellMar>
          <w:left w:w="0" w:type="dxa"/>
          <w:right w:w="0" w:type="dxa"/>
        </w:tblCellMar>
        <w:tblLook w:val="04A0" w:firstRow="1" w:lastRow="0" w:firstColumn="1" w:lastColumn="0" w:noHBand="0" w:noVBand="1"/>
      </w:tblPr>
      <w:tblGrid>
        <w:gridCol w:w="1969"/>
        <w:gridCol w:w="276"/>
        <w:gridCol w:w="276"/>
        <w:gridCol w:w="6109"/>
      </w:tblGrid>
      <w:tr w:rsidR="00962F19" w:rsidRPr="00962F19" w:rsidTr="00962F19">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Impuesto sobre la Renta y Complementarios</w:t>
            </w:r>
          </w:p>
        </w:tc>
      </w:tr>
      <w:tr w:rsidR="00962F19" w:rsidRPr="00962F19" w:rsidTr="00962F19">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AUTORRETENCIÓN</w:t>
            </w:r>
          </w:p>
        </w:tc>
      </w:tr>
      <w:tr w:rsidR="00962F19" w:rsidRPr="00962F19" w:rsidTr="00962F19">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962F19" w:rsidRPr="00962F19" w:rsidRDefault="00962F19" w:rsidP="00962F19">
            <w:pPr>
              <w:spacing w:after="0" w:line="240" w:lineRule="auto"/>
              <w:jc w:val="both"/>
              <w:rPr>
                <w:rFonts w:eastAsia="Times New Roman" w:cs="Times New Roman"/>
                <w:szCs w:val="24"/>
                <w:lang w:eastAsia="es-CO"/>
              </w:rPr>
            </w:pPr>
            <w:hyperlink r:id="rId4" w:tooltip="Estatuto Tributario CETA" w:history="1">
              <w:r w:rsidRPr="00962F19">
                <w:rPr>
                  <w:rFonts w:eastAsia="Times New Roman" w:cs="Times New Roman"/>
                  <w:szCs w:val="24"/>
                  <w:u w:val="single"/>
                  <w:lang w:eastAsia="es-CO"/>
                </w:rPr>
                <w:t>Artículo 288</w:t>
              </w:r>
            </w:hyperlink>
            <w:r w:rsidRPr="00962F19">
              <w:rPr>
                <w:rFonts w:eastAsia="Times New Roman" w:cs="Times New Roman"/>
                <w:szCs w:val="24"/>
                <w:lang w:eastAsia="es-CO"/>
              </w:rPr>
              <w:t> del Estatuto Tributario</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Artículos 1.2.6.6., 1.2.6.7 y 1.2.6.8 del Decreto 1625 de 2016</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Oficio No. 002035 de 2018</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Oficio No. 001600 de 2018</w:t>
            </w:r>
          </w:p>
        </w:tc>
      </w:tr>
    </w:tbl>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Estimado señor Gómez:</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De conformidad con lo preceptuado en el artículo 19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Mediante escritos radicados 100081889 del 10 de diciembre de dos mil dieciocho (2018) y 000461 del 21 de diciembre de dos mil dieciocho (2018) está Dirección recibió las consultas por medio de las que se solicitó ampliar (aclarar)/reconsiderar el Concepto No. 002035 del 19 de noviembre de 2018 (el documento correspondiente es el Oficio No. 002035 de 2018) y el 34641 del 14 de diciembre de 2018 (el documento correspondiente es el Oficio No. 001606) relacionados con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sobre ajustes por la diferencia en cambio para las entidades financieras.</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En atención a la consulta, se procede a aclarar las siguientes consideraciones tributarias:</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1. </w:t>
      </w:r>
      <w:r w:rsidRPr="00962F19">
        <w:rPr>
          <w:rFonts w:eastAsia="Times New Roman" w:cs="Times New Roman"/>
          <w:b/>
          <w:bCs/>
          <w:szCs w:val="24"/>
          <w:u w:val="single"/>
          <w:lang w:eastAsia="es-CO"/>
        </w:rPr>
        <w:t xml:space="preserve">Momento en el cual surge la obligación de practicar la </w:t>
      </w:r>
      <w:proofErr w:type="spellStart"/>
      <w:r w:rsidRPr="00962F19">
        <w:rPr>
          <w:rFonts w:eastAsia="Times New Roman" w:cs="Times New Roman"/>
          <w:b/>
          <w:bCs/>
          <w:szCs w:val="24"/>
          <w:u w:val="single"/>
          <w:lang w:eastAsia="es-CO"/>
        </w:rPr>
        <w:t>autorretención</w:t>
      </w:r>
      <w:proofErr w:type="spellEnd"/>
      <w:r w:rsidRPr="00962F19">
        <w:rPr>
          <w:rFonts w:eastAsia="Times New Roman" w:cs="Times New Roman"/>
          <w:b/>
          <w:bCs/>
          <w:szCs w:val="24"/>
          <w:u w:val="single"/>
          <w:lang w:eastAsia="es-CO"/>
        </w:rPr>
        <w:t xml:space="preserve"> en el caso de ingresos, costos, deducciones, activos y pasivos generados como consecuencia de la diferencia en cambio</w:t>
      </w:r>
      <w:r w:rsidRPr="00962F19">
        <w:rPr>
          <w:rFonts w:eastAsia="Times New Roman" w:cs="Times New Roman"/>
          <w:b/>
          <w:bCs/>
          <w:szCs w:val="24"/>
          <w:lang w:eastAsia="es-CO"/>
        </w:rPr>
        <w:t>:</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1.1. Reiterando lo mencionado en el Concepto No. 002035 de 2018, para efectos de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a título del impuesto sobre la renta y complementarios de que tratan los artículos 1.2.6.6. y siguientes del Decreto 1625 de 2016, cuando la misma es causada por pagos o abonos en cuenta de ingresos generados de la diferencia en cambio, estos se deben establecer en los términos del </w:t>
      </w:r>
      <w:hyperlink r:id="rId5" w:tooltip="Estatuto Tributario CETA" w:history="1">
        <w:r w:rsidRPr="00962F19">
          <w:rPr>
            <w:rFonts w:eastAsia="Times New Roman" w:cs="Times New Roman"/>
            <w:szCs w:val="24"/>
            <w:u w:val="single"/>
            <w:lang w:eastAsia="es-CO"/>
          </w:rPr>
          <w:t>artículo 288</w:t>
        </w:r>
      </w:hyperlink>
      <w:r w:rsidRPr="00962F19">
        <w:rPr>
          <w:rFonts w:eastAsia="Times New Roman" w:cs="Times New Roman"/>
          <w:szCs w:val="24"/>
          <w:lang w:eastAsia="es-CO"/>
        </w:rPr>
        <w:t xml:space="preserve"> del Estatuto Tributario (ET), es decir, el momento en el cual surge la obligación de practicar dicha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corresponde a: </w:t>
      </w:r>
      <w:r w:rsidRPr="00962F19">
        <w:rPr>
          <w:rFonts w:eastAsia="Times New Roman" w:cs="Times New Roman"/>
          <w:i/>
          <w:iCs/>
          <w:szCs w:val="24"/>
          <w:lang w:eastAsia="es-CO"/>
        </w:rPr>
        <w:t>“</w:t>
      </w:r>
      <w:r w:rsidRPr="00962F19">
        <w:rPr>
          <w:rFonts w:eastAsia="Times New Roman" w:cs="Times New Roman"/>
          <w:i/>
          <w:iCs/>
          <w:szCs w:val="24"/>
          <w:u w:val="single"/>
          <w:lang w:eastAsia="es-CO"/>
        </w:rPr>
        <w:t xml:space="preserve">(…) el </w:t>
      </w:r>
      <w:r w:rsidRPr="00962F19">
        <w:rPr>
          <w:rFonts w:eastAsia="Times New Roman" w:cs="Times New Roman"/>
          <w:i/>
          <w:iCs/>
          <w:szCs w:val="24"/>
          <w:u w:val="single"/>
          <w:lang w:eastAsia="es-CO"/>
        </w:rPr>
        <w:lastRenderedPageBreak/>
        <w:t>momento de la enajenación o abono en el caso de los activos, o liquidación o pago parcial en el caso de los pasivos</w:t>
      </w:r>
      <w:r w:rsidRPr="00962F19">
        <w:rPr>
          <w:rFonts w:eastAsia="Times New Roman" w:cs="Times New Roman"/>
          <w:i/>
          <w:iCs/>
          <w:szCs w:val="24"/>
          <w:lang w:eastAsia="es-CO"/>
        </w:rPr>
        <w:t>”.</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1.2. De lo anterior, es posible reconocer que el </w:t>
      </w:r>
      <w:hyperlink r:id="rId6" w:tooltip="Estatuto Tributario CETA" w:history="1">
        <w:r w:rsidRPr="00962F19">
          <w:rPr>
            <w:rFonts w:eastAsia="Times New Roman" w:cs="Times New Roman"/>
            <w:szCs w:val="24"/>
            <w:u w:val="single"/>
            <w:lang w:eastAsia="es-CO"/>
          </w:rPr>
          <w:t>artículo 288</w:t>
        </w:r>
      </w:hyperlink>
      <w:r w:rsidRPr="00962F19">
        <w:rPr>
          <w:rFonts w:eastAsia="Times New Roman" w:cs="Times New Roman"/>
          <w:szCs w:val="24"/>
          <w:lang w:eastAsia="es-CO"/>
        </w:rPr>
        <w:t xml:space="preserve"> del ET establece un tratamiento especial al momento en el cual surge la obligación de practicar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en el caso de ingresos, costos, deducciones, activos y pasivos generados como consecuencia de la diferencia en cambio.</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1.3. En este sentido, consideramos preciso concluir, al igual que el contribuyente que elevó la consulta, que el momento en el cual surge la obligación de practicar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causada por pagos o abonos en cuenta de ingresos generados en la diferencia en cambio, es el momento de la enajenación o abono en el caso de los activos, o liquidación o pago en el caso de los pasivos.</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2. </w:t>
      </w:r>
      <w:r w:rsidRPr="00962F19">
        <w:rPr>
          <w:rFonts w:eastAsia="Times New Roman" w:cs="Times New Roman"/>
          <w:b/>
          <w:bCs/>
          <w:szCs w:val="24"/>
          <w:u w:val="single"/>
          <w:lang w:eastAsia="es-CO"/>
        </w:rPr>
        <w:t xml:space="preserve">Determinación de la base para calcular la </w:t>
      </w:r>
      <w:proofErr w:type="spellStart"/>
      <w:r w:rsidRPr="00962F19">
        <w:rPr>
          <w:rFonts w:eastAsia="Times New Roman" w:cs="Times New Roman"/>
          <w:b/>
          <w:bCs/>
          <w:szCs w:val="24"/>
          <w:u w:val="single"/>
          <w:lang w:eastAsia="es-CO"/>
        </w:rPr>
        <w:t>autorretención</w:t>
      </w:r>
      <w:proofErr w:type="spellEnd"/>
      <w:r w:rsidRPr="00962F19">
        <w:rPr>
          <w:rFonts w:eastAsia="Times New Roman" w:cs="Times New Roman"/>
          <w:b/>
          <w:bCs/>
          <w:szCs w:val="24"/>
          <w:u w:val="single"/>
          <w:lang w:eastAsia="es-CO"/>
        </w:rPr>
        <w:t xml:space="preserve"> en el caso de ingresos, costos, deducciones, activos y pasivos generados como consecuencia de la diferencia en cambio</w:t>
      </w:r>
      <w:r w:rsidRPr="00962F19">
        <w:rPr>
          <w:rFonts w:eastAsia="Times New Roman" w:cs="Times New Roman"/>
          <w:b/>
          <w:bCs/>
          <w:szCs w:val="24"/>
          <w:lang w:eastAsia="es-CO"/>
        </w:rPr>
        <w:t>:</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2.1. Consideramos necesario precisar que tratándose de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a título del impuesto sobre la renta y complementarios que deben efectuar las entidades sometidas a la vigilancia de la Superintendencia Financiera de Colombia, la base para calcularla de acuerdo con el numeral 3 del artículo 1.2.6.7 del Decreto 1625 de 2016 está constituida por: </w:t>
      </w:r>
      <w:r w:rsidRPr="00962F19">
        <w:rPr>
          <w:rFonts w:eastAsia="Times New Roman" w:cs="Times New Roman"/>
          <w:i/>
          <w:iCs/>
          <w:szCs w:val="24"/>
          <w:lang w:eastAsia="es-CO"/>
        </w:rPr>
        <w:t>“(</w:t>
      </w:r>
      <w:proofErr w:type="gramStart"/>
      <w:r w:rsidRPr="00962F19">
        <w:rPr>
          <w:rFonts w:eastAsia="Times New Roman" w:cs="Times New Roman"/>
          <w:i/>
          <w:iCs/>
          <w:szCs w:val="24"/>
          <w:lang w:eastAsia="es-CO"/>
        </w:rPr>
        <w:t>…)</w:t>
      </w:r>
      <w:r w:rsidRPr="00962F19">
        <w:rPr>
          <w:rFonts w:eastAsia="Times New Roman" w:cs="Times New Roman"/>
          <w:i/>
          <w:iCs/>
          <w:szCs w:val="24"/>
          <w:u w:val="single"/>
          <w:lang w:eastAsia="es-CO"/>
        </w:rPr>
        <w:t>la</w:t>
      </w:r>
      <w:proofErr w:type="gramEnd"/>
      <w:r w:rsidRPr="00962F19">
        <w:rPr>
          <w:rFonts w:eastAsia="Times New Roman" w:cs="Times New Roman"/>
          <w:i/>
          <w:iCs/>
          <w:szCs w:val="24"/>
          <w:u w:val="single"/>
          <w:lang w:eastAsia="es-CO"/>
        </w:rPr>
        <w:t xml:space="preserve"> totalidad de los pagos o abonos en cuenta que sean susceptibles de constituir ingresos gravables</w:t>
      </w:r>
      <w:r w:rsidRPr="00962F19">
        <w:rPr>
          <w:rFonts w:eastAsia="Times New Roman" w:cs="Times New Roman"/>
          <w:i/>
          <w:iCs/>
          <w:szCs w:val="24"/>
          <w:lang w:eastAsia="es-CO"/>
        </w:rPr>
        <w:t>”.</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2.2. Reiterando lo mencionado en el Concepto No. 002035 de 2018, es claro que: </w:t>
      </w:r>
      <w:r w:rsidRPr="00962F19">
        <w:rPr>
          <w:rFonts w:eastAsia="Times New Roman" w:cs="Times New Roman"/>
          <w:i/>
          <w:iCs/>
          <w:szCs w:val="24"/>
          <w:lang w:eastAsia="es-CO"/>
        </w:rPr>
        <w:t>“</w:t>
      </w:r>
      <w:r w:rsidRPr="00962F19">
        <w:rPr>
          <w:rFonts w:eastAsia="Times New Roman" w:cs="Times New Roman"/>
          <w:i/>
          <w:iCs/>
          <w:szCs w:val="24"/>
          <w:u w:val="single"/>
          <w:lang w:eastAsia="es-CO"/>
        </w:rPr>
        <w:t>los ingresos gravados que se generen por la diferencia en cambio corresponderán al valor de la diferencia entre la tasa representativa del mercado en el reconocimiento inicial y la tasa representativa del mercado en el momento del pago o abono en cuenta</w:t>
      </w:r>
      <w:r w:rsidRPr="00962F19">
        <w:rPr>
          <w:rFonts w:eastAsia="Times New Roman" w:cs="Times New Roman"/>
          <w:i/>
          <w:iCs/>
          <w:szCs w:val="24"/>
          <w:lang w:eastAsia="es-CO"/>
        </w:rPr>
        <w:t>”.</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2.3. De lo anterior, es preciso concluir, al igual que el contribuyente que elevó la consulta, que la definición de la base de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corresponde al valor de los ingresos gravados que se generen por la diferencia en cambio, los cuales son determinados por la diferencia entre la tasa representativa del mercado en el reconocimiento inicial y la tasa representativa del mercado en el momento del pago o abono en cuenta.</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2.4. Sin perjuicio a lo anterior, es necesario resaltar que la norma no hace distinción si los ingresos gravables para la determinación de la base de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deben ser brutos o netos.</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2.5. Consideramos necesario precisar que los ingresos gravables por ajustes por diferencia en cambio que constituyen la base de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deben ser los ingresos gravables netos, es decir los ingresos gravables brutos menos los costos y gastos asociados a dichos ingresos.</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2.6. Lo anterior, se desprende del tratamiento especial que establece el </w:t>
      </w:r>
      <w:hyperlink r:id="rId7" w:tooltip="Estatuto Tributario CETA" w:history="1">
        <w:r w:rsidRPr="00962F19">
          <w:rPr>
            <w:rFonts w:eastAsia="Times New Roman" w:cs="Times New Roman"/>
            <w:szCs w:val="24"/>
            <w:u w:val="single"/>
            <w:lang w:eastAsia="es-CO"/>
          </w:rPr>
          <w:t>artículo 288</w:t>
        </w:r>
      </w:hyperlink>
      <w:r w:rsidRPr="00962F19">
        <w:rPr>
          <w:rFonts w:eastAsia="Times New Roman" w:cs="Times New Roman"/>
          <w:szCs w:val="24"/>
          <w:lang w:eastAsia="es-CO"/>
        </w:rPr>
        <w:t> del E.T., donde reconoce que los ingresos, costos y gastos tienen efectos fiscales únicamente en el momento de la enajenación o abono en el caso de los activos, o liquidación o pago parcial en el caso de los pasivos.</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2.7. Adicionalmente, consideramos que los ingresos gravables que se generen por la diferencia en cambio, los cuales constituyen base de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generalmente están asociados a algunos costos y gastos que constituirán el valor del pago o abono en cuenta correspondiente, los cuales deberán ser asumidos en el momento del pago o abono en cuenta. Dichos costos y gastos, en este tipo de operaciones son reconocidos comúnmente como coberturas o “</w:t>
      </w:r>
      <w:proofErr w:type="spellStart"/>
      <w:r w:rsidRPr="00962F19">
        <w:rPr>
          <w:rFonts w:eastAsia="Times New Roman" w:cs="Times New Roman"/>
          <w:szCs w:val="24"/>
          <w:lang w:eastAsia="es-CO"/>
        </w:rPr>
        <w:t>hedging</w:t>
      </w:r>
      <w:proofErr w:type="spellEnd"/>
      <w:r w:rsidRPr="00962F19">
        <w:rPr>
          <w:rFonts w:eastAsia="Times New Roman" w:cs="Times New Roman"/>
          <w:szCs w:val="24"/>
          <w:lang w:eastAsia="es-CO"/>
        </w:rPr>
        <w:t>”.</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lastRenderedPageBreak/>
        <w:t>2.8. Teniendo en cuenta lo anterior y el tratamiento especial que reconoce el </w:t>
      </w:r>
      <w:hyperlink r:id="rId8" w:tooltip="Estatuto Tributario CETA" w:history="1">
        <w:r w:rsidRPr="00962F19">
          <w:rPr>
            <w:rFonts w:eastAsia="Times New Roman" w:cs="Times New Roman"/>
            <w:szCs w:val="24"/>
            <w:u w:val="single"/>
            <w:lang w:eastAsia="es-CO"/>
          </w:rPr>
          <w:t>artículo 288</w:t>
        </w:r>
      </w:hyperlink>
      <w:r w:rsidRPr="00962F19">
        <w:rPr>
          <w:rFonts w:eastAsia="Times New Roman" w:cs="Times New Roman"/>
          <w:szCs w:val="24"/>
          <w:lang w:eastAsia="es-CO"/>
        </w:rPr>
        <w:t xml:space="preserve">, es posible concluir que los ingresos gravados que constituyen la base de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deben ser los ingresos netos de la operación.</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2.9. En búsqueda de aclarar lo solicitado en la consulta de la referencia, concluimos que:</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a) La base de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está constituida por el valor de los ingresos gravados que se generen por la diferencia en cambio, los cuales corresponden a la diferencia entre la tasa representativa del mercado en el reconocimiento inicial y la tasa representativa del mercado en el momento del pago o abono en cuenta, y</w:t>
      </w:r>
    </w:p>
    <w:p w:rsidR="00962F19" w:rsidRDefault="00962F19" w:rsidP="00962F19">
      <w:pPr>
        <w:spacing w:after="0" w:line="240" w:lineRule="auto"/>
        <w:jc w:val="both"/>
        <w:rPr>
          <w:rFonts w:eastAsia="Times New Roman" w:cs="Times New Roman"/>
          <w:szCs w:val="24"/>
          <w:lang w:eastAsia="es-CO"/>
        </w:rPr>
      </w:pPr>
    </w:p>
    <w:p w:rsidR="00962F19" w:rsidRPr="00962F19" w:rsidRDefault="00962F19" w:rsidP="00962F19">
      <w:pPr>
        <w:spacing w:after="0" w:line="240" w:lineRule="auto"/>
        <w:jc w:val="both"/>
        <w:rPr>
          <w:rFonts w:eastAsia="Times New Roman" w:cs="Times New Roman"/>
          <w:szCs w:val="24"/>
          <w:lang w:eastAsia="es-CO"/>
        </w:rPr>
      </w:pPr>
      <w:bookmarkStart w:id="0" w:name="_GoBack"/>
      <w:bookmarkEnd w:id="0"/>
      <w:r w:rsidRPr="00962F19">
        <w:rPr>
          <w:rFonts w:eastAsia="Times New Roman" w:cs="Times New Roman"/>
          <w:szCs w:val="24"/>
          <w:lang w:eastAsia="es-CO"/>
        </w:rPr>
        <w:t>b) Los ingresos gravables que constituyen la base mencionada en el literal anterior, corresponden a los ingresos netos de la operación durante el período correspondiente.</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xml:space="preserve">2.10. Por otro lado, debe destacarse que la determinación de los ingresos gravables por la diferencia en cambio es aplicable únicamente sobre esta tipología de ingresos y en ningún caso reemplaza o exceptúa a los agentes obligados a efectuar la </w:t>
      </w:r>
      <w:proofErr w:type="spellStart"/>
      <w:r w:rsidRPr="00962F19">
        <w:rPr>
          <w:rFonts w:eastAsia="Times New Roman" w:cs="Times New Roman"/>
          <w:szCs w:val="24"/>
          <w:lang w:eastAsia="es-CO"/>
        </w:rPr>
        <w:t>autorretención</w:t>
      </w:r>
      <w:proofErr w:type="spellEnd"/>
      <w:r w:rsidRPr="00962F19">
        <w:rPr>
          <w:rFonts w:eastAsia="Times New Roman" w:cs="Times New Roman"/>
          <w:szCs w:val="24"/>
          <w:lang w:eastAsia="es-CO"/>
        </w:rPr>
        <w:t xml:space="preserve"> a título de impuesto sobre la renta y complementarios de realizar la misma sobre los demás abonos o pagos que causen la obligación tributaria sustancial.</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3. Teniendo en cuenta lo establecido en este documento, es preciso reconocer que se aclaran los temas señalados por el consultante en relación a las consultas de la referencia, mas no se reconsidera lo fijado en los Oficios No. 002035 del 19 de noviembre de 2018 y 001606 del 14 de diciembre de 2018.</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Cordialmente,</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 </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b/>
          <w:bCs/>
          <w:szCs w:val="24"/>
          <w:lang w:eastAsia="es-CO"/>
        </w:rPr>
        <w:t>LILIANA ANDREA FORERO GÓMEZ</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Directora de Gestión Jurídica</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Dirección de Gestión Jurídica</w:t>
      </w:r>
    </w:p>
    <w:p w:rsidR="00962F19" w:rsidRPr="00962F19" w:rsidRDefault="00962F19" w:rsidP="00962F19">
      <w:pPr>
        <w:spacing w:after="0" w:line="240" w:lineRule="auto"/>
        <w:jc w:val="both"/>
        <w:rPr>
          <w:rFonts w:eastAsia="Times New Roman" w:cs="Times New Roman"/>
          <w:szCs w:val="24"/>
          <w:lang w:eastAsia="es-CO"/>
        </w:rPr>
      </w:pPr>
      <w:r w:rsidRPr="00962F19">
        <w:rPr>
          <w:rFonts w:eastAsia="Times New Roman" w:cs="Times New Roman"/>
          <w:szCs w:val="24"/>
          <w:lang w:eastAsia="es-CO"/>
        </w:rPr>
        <w:t>UAE – Dirección de Impuestos y Aduanas Nacionales</w:t>
      </w:r>
    </w:p>
    <w:p w:rsidR="00730617" w:rsidRPr="00962F19" w:rsidRDefault="00962F19">
      <w:pPr>
        <w:rPr>
          <w:rFonts w:cs="Times New Roman"/>
          <w:szCs w:val="24"/>
        </w:rPr>
      </w:pPr>
      <w:r w:rsidRPr="00962F19">
        <w:rPr>
          <w:rFonts w:cs="Times New Roman"/>
          <w:szCs w:val="24"/>
        </w:rPr>
        <w:t>_________________________________________________________________________</w:t>
      </w:r>
    </w:p>
    <w:sectPr w:rsidR="00730617" w:rsidRPr="00962F19"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F19"/>
    <w:rsid w:val="00730617"/>
    <w:rsid w:val="00962F19"/>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83125F"/>
  <w15:chartTrackingRefBased/>
  <w15:docId w15:val="{574C30C4-985F-4811-AEC8-76D5F1877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6942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365"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365"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365" TargetMode="External"/><Relationship Id="rId5" Type="http://schemas.openxmlformats.org/officeDocument/2006/relationships/hyperlink" Target="https://www.ceta.org.co/html/vista_de_un_articulo.asp?Norma=365" TargetMode="External"/><Relationship Id="rId10" Type="http://schemas.openxmlformats.org/officeDocument/2006/relationships/theme" Target="theme/theme1.xml"/><Relationship Id="rId4" Type="http://schemas.openxmlformats.org/officeDocument/2006/relationships/hyperlink" Target="https://www.ceta.org.co/html/vista_de_un_articulo.asp?Norma=365" TargetMode="Externa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1335</Words>
  <Characters>7348</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2019-05-17T01:30:00Z</dcterms:created>
  <dcterms:modified xsi:type="dcterms:W3CDTF">2019-05-17T01:32:00Z</dcterms:modified>
</cp:coreProperties>
</file>