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565" w:rsidRPr="002B0565" w:rsidRDefault="002B0565" w:rsidP="002B0565">
      <w:pPr>
        <w:spacing w:after="0" w:line="240" w:lineRule="auto"/>
        <w:jc w:val="center"/>
        <w:rPr>
          <w:rFonts w:eastAsia="Times New Roman" w:cs="Times New Roman"/>
          <w:b/>
          <w:bCs/>
          <w:szCs w:val="24"/>
          <w:lang w:eastAsia="es-CO"/>
        </w:rPr>
      </w:pPr>
    </w:p>
    <w:p w:rsidR="002B0565" w:rsidRPr="002B0565" w:rsidRDefault="002B0565" w:rsidP="002B0565">
      <w:pPr>
        <w:spacing w:after="0" w:line="240" w:lineRule="auto"/>
        <w:jc w:val="center"/>
        <w:rPr>
          <w:rFonts w:eastAsia="Times New Roman" w:cs="Times New Roman"/>
          <w:b/>
          <w:bCs/>
          <w:szCs w:val="24"/>
          <w:lang w:eastAsia="es-CO"/>
        </w:rPr>
      </w:pPr>
    </w:p>
    <w:p w:rsidR="002B0565" w:rsidRPr="002B0565" w:rsidRDefault="002B0565" w:rsidP="002B0565">
      <w:pPr>
        <w:spacing w:after="0" w:line="240" w:lineRule="auto"/>
        <w:jc w:val="center"/>
        <w:rPr>
          <w:rFonts w:eastAsia="Times New Roman" w:cs="Times New Roman"/>
          <w:szCs w:val="24"/>
          <w:lang w:eastAsia="es-CO"/>
        </w:rPr>
      </w:pPr>
      <w:r w:rsidRPr="002B0565">
        <w:rPr>
          <w:rFonts w:eastAsia="Times New Roman" w:cs="Times New Roman"/>
          <w:b/>
          <w:bCs/>
          <w:szCs w:val="24"/>
          <w:lang w:eastAsia="es-CO"/>
        </w:rPr>
        <w:t>OFICIO Nº 2136 [902712]</w:t>
      </w:r>
    </w:p>
    <w:p w:rsidR="002B0565" w:rsidRPr="002B0565" w:rsidRDefault="002B0565" w:rsidP="002B0565">
      <w:pPr>
        <w:spacing w:after="0" w:line="240" w:lineRule="auto"/>
        <w:jc w:val="center"/>
        <w:rPr>
          <w:rFonts w:eastAsia="Times New Roman" w:cs="Times New Roman"/>
          <w:szCs w:val="24"/>
          <w:lang w:eastAsia="es-CO"/>
        </w:rPr>
      </w:pPr>
      <w:r w:rsidRPr="002B0565">
        <w:rPr>
          <w:rFonts w:eastAsia="Times New Roman" w:cs="Times New Roman"/>
          <w:b/>
          <w:bCs/>
          <w:szCs w:val="24"/>
          <w:lang w:eastAsia="es-CO"/>
        </w:rPr>
        <w:t>06-12-2018</w:t>
      </w:r>
    </w:p>
    <w:p w:rsidR="002B0565" w:rsidRPr="002B0565" w:rsidRDefault="002B0565" w:rsidP="002B0565">
      <w:pPr>
        <w:spacing w:after="0" w:line="240" w:lineRule="auto"/>
        <w:jc w:val="center"/>
        <w:rPr>
          <w:rFonts w:eastAsia="Times New Roman" w:cs="Times New Roman"/>
          <w:szCs w:val="24"/>
          <w:lang w:eastAsia="es-CO"/>
        </w:rPr>
      </w:pPr>
      <w:r w:rsidRPr="002B0565">
        <w:rPr>
          <w:rFonts w:eastAsia="Times New Roman" w:cs="Times New Roman"/>
          <w:b/>
          <w:bCs/>
          <w:szCs w:val="24"/>
          <w:lang w:eastAsia="es-CO"/>
        </w:rPr>
        <w:t>DIAN</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 </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 </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Subdirección de Gestión Normativa y Doctrina</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Bogotá, D.C.</w:t>
      </w:r>
      <w:bookmarkStart w:id="0" w:name="_GoBack"/>
      <w:bookmarkEnd w:id="0"/>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100208221 – 002136</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 </w:t>
      </w:r>
    </w:p>
    <w:p w:rsidR="002B0565" w:rsidRPr="002B0565" w:rsidRDefault="002B0565" w:rsidP="002B0565">
      <w:pPr>
        <w:spacing w:after="0" w:line="240" w:lineRule="auto"/>
        <w:jc w:val="both"/>
        <w:rPr>
          <w:rFonts w:eastAsia="Times New Roman" w:cs="Times New Roman"/>
          <w:szCs w:val="24"/>
          <w:lang w:eastAsia="es-CO"/>
        </w:rPr>
      </w:pPr>
      <w:proofErr w:type="spellStart"/>
      <w:r w:rsidRPr="002B0565">
        <w:rPr>
          <w:rFonts w:eastAsia="Times New Roman" w:cs="Times New Roman"/>
          <w:b/>
          <w:bCs/>
          <w:szCs w:val="24"/>
          <w:lang w:eastAsia="es-CO"/>
        </w:rPr>
        <w:t>Ref</w:t>
      </w:r>
      <w:proofErr w:type="spellEnd"/>
      <w:r w:rsidRPr="002B0565">
        <w:rPr>
          <w:rFonts w:eastAsia="Times New Roman" w:cs="Times New Roman"/>
          <w:b/>
          <w:bCs/>
          <w:szCs w:val="24"/>
          <w:lang w:eastAsia="es-CO"/>
        </w:rPr>
        <w:t>:</w:t>
      </w:r>
      <w:r w:rsidRPr="002B0565">
        <w:rPr>
          <w:rFonts w:eastAsia="Times New Roman" w:cs="Times New Roman"/>
          <w:szCs w:val="24"/>
          <w:lang w:eastAsia="es-CO"/>
        </w:rPr>
        <w:t> Radicado 100072024 del 24/10/2018</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 </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b/>
          <w:bCs/>
          <w:szCs w:val="24"/>
          <w:lang w:eastAsia="es-CO"/>
        </w:rPr>
        <w:t>Tema </w:t>
      </w:r>
      <w:r w:rsidRPr="002B0565">
        <w:rPr>
          <w:rFonts w:eastAsia="Times New Roman" w:cs="Times New Roman"/>
          <w:szCs w:val="24"/>
          <w:lang w:eastAsia="es-CO"/>
        </w:rPr>
        <w:t>Procedimiento Tributario</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b/>
          <w:bCs/>
          <w:szCs w:val="24"/>
          <w:lang w:eastAsia="es-CO"/>
        </w:rPr>
        <w:t>Descriptores </w:t>
      </w:r>
      <w:r w:rsidRPr="002B0565">
        <w:rPr>
          <w:rFonts w:eastAsia="Times New Roman" w:cs="Times New Roman"/>
          <w:szCs w:val="24"/>
          <w:lang w:eastAsia="es-CO"/>
        </w:rPr>
        <w:t>Medios de Pago para la Aceptación de Costos, Deducciones, Pasivos e Impuestos Descontables</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b/>
          <w:bCs/>
          <w:szCs w:val="24"/>
          <w:lang w:eastAsia="es-CO"/>
        </w:rPr>
        <w:t>Fuentes formales </w:t>
      </w:r>
      <w:r w:rsidRPr="002B0565">
        <w:rPr>
          <w:rFonts w:eastAsia="Times New Roman" w:cs="Times New Roman"/>
          <w:szCs w:val="24"/>
          <w:lang w:eastAsia="es-CO"/>
        </w:rPr>
        <w:t>Estatuto Tributario. </w:t>
      </w:r>
      <w:hyperlink r:id="rId4" w:tooltip="Estatuto Tributario CETA" w:history="1">
        <w:r w:rsidRPr="002B0565">
          <w:rPr>
            <w:rFonts w:eastAsia="Times New Roman" w:cs="Times New Roman"/>
            <w:szCs w:val="24"/>
            <w:u w:val="single"/>
            <w:lang w:eastAsia="es-CO"/>
          </w:rPr>
          <w:t>Art. 771-5</w:t>
        </w:r>
      </w:hyperlink>
      <w:r w:rsidRPr="002B0565">
        <w:rPr>
          <w:rFonts w:eastAsia="Times New Roman" w:cs="Times New Roman"/>
          <w:szCs w:val="24"/>
          <w:lang w:eastAsia="es-CO"/>
        </w:rPr>
        <w:t>.</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 </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 </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Cordial saludo:</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 </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De conformidad con el artículo 20 del Decreto 4048 de 2008 modificado por el artículo 10 del Decreto 1321 de 2011, es función de esta Subdirección absolver las consultas escritas que se formulen sobre interpretación y aplicación de las normas nacionales en materia tributaria, aduanera o de comercio exterior, en lo de competencia de la UAE-DIAN.</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 </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En atención al escrito en referencia, por medio del cual se solicita la aclaración respecto de la aplicación del parágrafo dos del </w:t>
      </w:r>
      <w:hyperlink r:id="rId5" w:tooltip="Estatuto Tributario CETA" w:history="1">
        <w:r w:rsidRPr="002B0565">
          <w:rPr>
            <w:rFonts w:eastAsia="Times New Roman" w:cs="Times New Roman"/>
            <w:szCs w:val="24"/>
            <w:u w:val="single"/>
            <w:lang w:eastAsia="es-CO"/>
          </w:rPr>
          <w:t>artículo 771-5</w:t>
        </w:r>
      </w:hyperlink>
      <w:r w:rsidRPr="002B0565">
        <w:rPr>
          <w:rFonts w:eastAsia="Times New Roman" w:cs="Times New Roman"/>
          <w:szCs w:val="24"/>
          <w:lang w:eastAsia="es-CO"/>
        </w:rPr>
        <w:t> del Estatuto Tributario (ET) </w:t>
      </w:r>
      <w:r w:rsidRPr="002B0565">
        <w:rPr>
          <w:rFonts w:eastAsia="Times New Roman" w:cs="Times New Roman"/>
          <w:i/>
          <w:iCs/>
          <w:szCs w:val="24"/>
          <w:lang w:eastAsia="es-CO"/>
        </w:rPr>
        <w:t>“Medios de pago para efectos de la aceptación de costos, deducciones, pasivos e impuestos descontables” </w:t>
      </w:r>
      <w:r w:rsidRPr="002B0565">
        <w:rPr>
          <w:rFonts w:eastAsia="Times New Roman" w:cs="Times New Roman"/>
          <w:szCs w:val="24"/>
          <w:lang w:eastAsia="es-CO"/>
        </w:rPr>
        <w:t>específicamente sobre lo que debe entenderse por la expresión </w:t>
      </w:r>
      <w:r w:rsidRPr="002B0565">
        <w:rPr>
          <w:rFonts w:eastAsia="Times New Roman" w:cs="Times New Roman"/>
          <w:i/>
          <w:iCs/>
          <w:szCs w:val="24"/>
          <w:lang w:eastAsia="es-CO"/>
        </w:rPr>
        <w:t>“pagos individuales” </w:t>
      </w:r>
      <w:r w:rsidRPr="002B0565">
        <w:rPr>
          <w:rFonts w:eastAsia="Times New Roman" w:cs="Times New Roman"/>
          <w:szCs w:val="24"/>
          <w:lang w:eastAsia="es-CO"/>
        </w:rPr>
        <w:t>cuando la norma expresa:</w:t>
      </w:r>
    </w:p>
    <w:p w:rsidR="002B0565" w:rsidRPr="002B0565" w:rsidRDefault="002B0565" w:rsidP="002B0565">
      <w:pPr>
        <w:spacing w:after="0" w:line="240" w:lineRule="auto"/>
        <w:ind w:left="180"/>
        <w:jc w:val="both"/>
        <w:rPr>
          <w:rFonts w:eastAsia="Times New Roman" w:cs="Times New Roman"/>
          <w:szCs w:val="24"/>
          <w:lang w:eastAsia="es-CO"/>
        </w:rPr>
      </w:pPr>
      <w:r w:rsidRPr="002B0565">
        <w:rPr>
          <w:rFonts w:eastAsia="Times New Roman" w:cs="Times New Roman"/>
          <w:szCs w:val="24"/>
          <w:lang w:eastAsia="es-CO"/>
        </w:rPr>
        <w:t> </w:t>
      </w:r>
    </w:p>
    <w:p w:rsidR="002B0565" w:rsidRPr="002B0565" w:rsidRDefault="002B0565" w:rsidP="002B0565">
      <w:pPr>
        <w:spacing w:after="0" w:line="240" w:lineRule="auto"/>
        <w:ind w:left="180"/>
        <w:jc w:val="both"/>
        <w:rPr>
          <w:rFonts w:eastAsia="Times New Roman" w:cs="Times New Roman"/>
          <w:szCs w:val="24"/>
          <w:lang w:eastAsia="es-CO"/>
        </w:rPr>
      </w:pPr>
      <w:r w:rsidRPr="002B0565">
        <w:rPr>
          <w:rFonts w:eastAsia="Times New Roman" w:cs="Times New Roman"/>
          <w:i/>
          <w:iCs/>
          <w:szCs w:val="24"/>
          <w:lang w:eastAsia="es-CO"/>
        </w:rPr>
        <w:t>“(…) En todo caso, los pagos individuales realizados por personas jurídicas y las personas naturales que perciban rentas no laborales de acuerdo a lo dispuesto en este Estatuto, que superen las cien (100) UVT deberán canalizarse a través de los medios financieros, so pena de su desconocimiento fiscal como costo, deducción, pasivo o impuesto descontable en la cédula correspondiente a las rentas no laborales”.</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 </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Para dar respuesta a sus cuestionamientos es necesario transcribir lo expuesto en el Oficio No. 019439 de julio 27 de 2018 expedido por la Dirección de Gestión Jurídica (DGJ) el cual reconsideró el Oficio 005713 de marzo 7 de 2018, las preguntas 1 y 3 del Oficio 000203 de marzo 6 de 2018, el Oficio 0073308 de marzo 23 de 2018 y el Oficio 000724 de mayo 10 de 2018, determinando que:</w:t>
      </w:r>
    </w:p>
    <w:p w:rsidR="002B0565" w:rsidRPr="002B0565" w:rsidRDefault="002B0565" w:rsidP="002B0565">
      <w:pPr>
        <w:spacing w:after="0" w:line="240" w:lineRule="auto"/>
        <w:ind w:left="180"/>
        <w:jc w:val="both"/>
        <w:rPr>
          <w:rFonts w:eastAsia="Times New Roman" w:cs="Times New Roman"/>
          <w:szCs w:val="24"/>
          <w:lang w:eastAsia="es-CO"/>
        </w:rPr>
      </w:pPr>
      <w:r w:rsidRPr="002B0565">
        <w:rPr>
          <w:rFonts w:eastAsia="Times New Roman" w:cs="Times New Roman"/>
          <w:szCs w:val="24"/>
          <w:lang w:eastAsia="es-CO"/>
        </w:rPr>
        <w:t> </w:t>
      </w:r>
    </w:p>
    <w:p w:rsidR="002B0565" w:rsidRPr="002B0565" w:rsidRDefault="002B0565" w:rsidP="002B0565">
      <w:pPr>
        <w:spacing w:after="0" w:line="240" w:lineRule="auto"/>
        <w:ind w:left="180"/>
        <w:jc w:val="both"/>
        <w:rPr>
          <w:rFonts w:eastAsia="Times New Roman" w:cs="Times New Roman"/>
          <w:szCs w:val="24"/>
          <w:lang w:eastAsia="es-CO"/>
        </w:rPr>
      </w:pPr>
      <w:r w:rsidRPr="002B0565">
        <w:rPr>
          <w:rFonts w:eastAsia="Times New Roman" w:cs="Times New Roman"/>
          <w:i/>
          <w:iCs/>
          <w:szCs w:val="24"/>
          <w:lang w:eastAsia="es-CO"/>
        </w:rPr>
        <w:t>“(…) la hipótesis a la cual se refiere el parágrafo segundo del </w:t>
      </w:r>
      <w:hyperlink r:id="rId6" w:tooltip="Estatuto Tributario CETA" w:history="1">
        <w:r w:rsidRPr="002B0565">
          <w:rPr>
            <w:rFonts w:eastAsia="Times New Roman" w:cs="Times New Roman"/>
            <w:i/>
            <w:iCs/>
            <w:szCs w:val="24"/>
            <w:u w:val="single"/>
            <w:lang w:eastAsia="es-CO"/>
          </w:rPr>
          <w:t>artículo 771-5</w:t>
        </w:r>
      </w:hyperlink>
      <w:r w:rsidRPr="002B0565">
        <w:rPr>
          <w:rFonts w:eastAsia="Times New Roman" w:cs="Times New Roman"/>
          <w:i/>
          <w:iCs/>
          <w:szCs w:val="24"/>
          <w:lang w:eastAsia="es-CO"/>
        </w:rPr>
        <w:t> del estatuto tributario, corresponde a que el límite en efectivo de las 100 UVT, es por el sujeto que las recibe dentro de un año gravable, independientemente de que los pagos se hagan en una o más transacciones. Esto, sin perjuicio del cumplimiento de lo establecido en el parágrafo 1 de este artículo. El incumplimiento de la norma conlleva a que el monto que exceda el límite, sea desconocido fiscalmente como costo, deducción, pasivo o impuesto descontable (…)”.</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 </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Así las cosas, resulta útil traer a colación la exposición de motivos de la norma objeto de estudio para conocer el objetivo de la existencia de la misma, donde al respecto se expresa:</w:t>
      </w:r>
    </w:p>
    <w:p w:rsidR="002B0565" w:rsidRPr="002B0565" w:rsidRDefault="002B0565" w:rsidP="002B0565">
      <w:pPr>
        <w:spacing w:after="0" w:line="240" w:lineRule="auto"/>
        <w:ind w:left="180"/>
        <w:jc w:val="both"/>
        <w:rPr>
          <w:rFonts w:eastAsia="Times New Roman" w:cs="Times New Roman"/>
          <w:szCs w:val="24"/>
          <w:lang w:eastAsia="es-CO"/>
        </w:rPr>
      </w:pPr>
      <w:r w:rsidRPr="002B0565">
        <w:rPr>
          <w:rFonts w:eastAsia="Times New Roman" w:cs="Times New Roman"/>
          <w:szCs w:val="24"/>
          <w:lang w:eastAsia="es-CO"/>
        </w:rPr>
        <w:t> </w:t>
      </w:r>
    </w:p>
    <w:p w:rsidR="002B0565" w:rsidRPr="002B0565" w:rsidRDefault="002B0565" w:rsidP="002B0565">
      <w:pPr>
        <w:spacing w:after="0" w:line="240" w:lineRule="auto"/>
        <w:ind w:left="180"/>
        <w:jc w:val="both"/>
        <w:rPr>
          <w:rFonts w:eastAsia="Times New Roman" w:cs="Times New Roman"/>
          <w:szCs w:val="24"/>
          <w:lang w:eastAsia="es-CO"/>
        </w:rPr>
      </w:pPr>
      <w:r w:rsidRPr="002B0565">
        <w:rPr>
          <w:rFonts w:eastAsia="Times New Roman" w:cs="Times New Roman"/>
          <w:b/>
          <w:bCs/>
          <w:i/>
          <w:iCs/>
          <w:szCs w:val="24"/>
          <w:lang w:eastAsia="es-CO"/>
        </w:rPr>
        <w:t>3. PAGOS EN EFECTIVO</w:t>
      </w:r>
    </w:p>
    <w:p w:rsidR="002B0565" w:rsidRPr="002B0565" w:rsidRDefault="002B0565" w:rsidP="002B0565">
      <w:pPr>
        <w:spacing w:after="0" w:line="240" w:lineRule="auto"/>
        <w:ind w:left="180"/>
        <w:jc w:val="both"/>
        <w:rPr>
          <w:rFonts w:eastAsia="Times New Roman" w:cs="Times New Roman"/>
          <w:szCs w:val="24"/>
          <w:lang w:eastAsia="es-CO"/>
        </w:rPr>
      </w:pPr>
      <w:r w:rsidRPr="002B0565">
        <w:rPr>
          <w:rFonts w:eastAsia="Times New Roman" w:cs="Times New Roman"/>
          <w:szCs w:val="24"/>
          <w:lang w:eastAsia="es-CO"/>
        </w:rPr>
        <w:t> </w:t>
      </w:r>
    </w:p>
    <w:p w:rsidR="002B0565" w:rsidRPr="002B0565" w:rsidRDefault="002B0565" w:rsidP="002B0565">
      <w:pPr>
        <w:spacing w:after="0" w:line="240" w:lineRule="auto"/>
        <w:ind w:left="180"/>
        <w:jc w:val="both"/>
        <w:rPr>
          <w:rFonts w:eastAsia="Times New Roman" w:cs="Times New Roman"/>
          <w:szCs w:val="24"/>
          <w:lang w:eastAsia="es-CO"/>
        </w:rPr>
      </w:pPr>
      <w:r w:rsidRPr="002B0565">
        <w:rPr>
          <w:rFonts w:eastAsia="Times New Roman" w:cs="Times New Roman"/>
          <w:b/>
          <w:bCs/>
          <w:i/>
          <w:iCs/>
          <w:szCs w:val="24"/>
          <w:lang w:eastAsia="es-CO"/>
        </w:rPr>
        <w:lastRenderedPageBreak/>
        <w:t>3.1 JUSTIFICACIÓN</w:t>
      </w:r>
    </w:p>
    <w:p w:rsidR="002B0565" w:rsidRPr="002B0565" w:rsidRDefault="002B0565" w:rsidP="002B0565">
      <w:pPr>
        <w:spacing w:after="0" w:line="240" w:lineRule="auto"/>
        <w:ind w:left="180"/>
        <w:jc w:val="both"/>
        <w:rPr>
          <w:rFonts w:eastAsia="Times New Roman" w:cs="Times New Roman"/>
          <w:szCs w:val="24"/>
          <w:lang w:eastAsia="es-CO"/>
        </w:rPr>
      </w:pPr>
      <w:r w:rsidRPr="002B0565">
        <w:rPr>
          <w:rFonts w:eastAsia="Times New Roman" w:cs="Times New Roman"/>
          <w:szCs w:val="24"/>
          <w:lang w:eastAsia="es-CO"/>
        </w:rPr>
        <w:t> </w:t>
      </w:r>
    </w:p>
    <w:p w:rsidR="002B0565" w:rsidRPr="002B0565" w:rsidRDefault="002B0565" w:rsidP="002B0565">
      <w:pPr>
        <w:spacing w:after="0" w:line="240" w:lineRule="auto"/>
        <w:ind w:left="180"/>
        <w:jc w:val="both"/>
        <w:rPr>
          <w:rFonts w:eastAsia="Times New Roman" w:cs="Times New Roman"/>
          <w:szCs w:val="24"/>
          <w:lang w:eastAsia="es-CO"/>
        </w:rPr>
      </w:pPr>
      <w:r w:rsidRPr="002B0565">
        <w:rPr>
          <w:rFonts w:eastAsia="Times New Roman" w:cs="Times New Roman"/>
          <w:i/>
          <w:iCs/>
          <w:szCs w:val="24"/>
          <w:lang w:eastAsia="es-CO"/>
        </w:rPr>
        <w:t>El Gobierno Nacional ha evidenciado que las transacciones realizadas en efectivo resultan ser de difícil seguimiento. En contraste, el uso de los canales bancarios para efectos de los pagos que realicen los contribuyentes o responsables, dejan un registro que permite una mayor trazabilidad lo cual facilita el control de los ingresos, costos, deducciones e impuestos descontables.</w:t>
      </w:r>
    </w:p>
    <w:p w:rsidR="002B0565" w:rsidRPr="002B0565" w:rsidRDefault="002B0565" w:rsidP="002B0565">
      <w:pPr>
        <w:spacing w:after="0" w:line="240" w:lineRule="auto"/>
        <w:ind w:left="180"/>
        <w:jc w:val="both"/>
        <w:rPr>
          <w:rFonts w:eastAsia="Times New Roman" w:cs="Times New Roman"/>
          <w:szCs w:val="24"/>
          <w:lang w:eastAsia="es-CO"/>
        </w:rPr>
      </w:pPr>
      <w:r w:rsidRPr="002B0565">
        <w:rPr>
          <w:rFonts w:eastAsia="Times New Roman" w:cs="Times New Roman"/>
          <w:szCs w:val="24"/>
          <w:lang w:eastAsia="es-CO"/>
        </w:rPr>
        <w:t> </w:t>
      </w:r>
    </w:p>
    <w:p w:rsidR="002B0565" w:rsidRPr="002B0565" w:rsidRDefault="002B0565" w:rsidP="002B0565">
      <w:pPr>
        <w:spacing w:after="0" w:line="240" w:lineRule="auto"/>
        <w:ind w:left="180"/>
        <w:jc w:val="both"/>
        <w:rPr>
          <w:rFonts w:eastAsia="Times New Roman" w:cs="Times New Roman"/>
          <w:szCs w:val="24"/>
          <w:lang w:eastAsia="es-CO"/>
        </w:rPr>
      </w:pPr>
      <w:r w:rsidRPr="002B0565">
        <w:rPr>
          <w:rFonts w:eastAsia="Times New Roman" w:cs="Times New Roman"/>
          <w:i/>
          <w:iCs/>
          <w:szCs w:val="24"/>
          <w:lang w:eastAsia="es-CO"/>
        </w:rPr>
        <w:t>Por esta razón se ha buscado la implementación de mecanismos de control a través del uso de los canales bancarios, que aseguren mayor transparencia en las transacciones, eviten la evasión y el fraude, mejoren el recaudo y promuevan la eficiencia del sistema tributario (principio consagrado en el artículo 363 de la Constitución Política) (…).</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 </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De esta manera para conservar el efecto útil de la norma, en razón a la interpretación otorgada por la DGJ a la expresión </w:t>
      </w:r>
      <w:r w:rsidRPr="002B0565">
        <w:rPr>
          <w:rFonts w:eastAsia="Times New Roman" w:cs="Times New Roman"/>
          <w:i/>
          <w:iCs/>
          <w:szCs w:val="24"/>
          <w:lang w:eastAsia="es-CO"/>
        </w:rPr>
        <w:t>“pagos individuales”, </w:t>
      </w:r>
      <w:r w:rsidRPr="002B0565">
        <w:rPr>
          <w:rFonts w:eastAsia="Times New Roman" w:cs="Times New Roman"/>
          <w:szCs w:val="24"/>
          <w:lang w:eastAsia="es-CO"/>
        </w:rPr>
        <w:t>la misma debe entenderse como que el límite del pago en efectivo de las 100 UVT debe aplicarse por el sujeto que recibe el pago dentro del año gravable, independientemente de que estos pagos se hagan en una o más transacciones.</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 </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Atentamente,</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 </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 </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b/>
          <w:bCs/>
          <w:szCs w:val="24"/>
          <w:lang w:eastAsia="es-CO"/>
        </w:rPr>
        <w:t>LORENZO CASTILLO BARVO</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Subdirector de Gestión Normativa y Doctrina (E)</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Dirección de Gestión Jurídica</w:t>
      </w:r>
    </w:p>
    <w:p w:rsidR="002B0565" w:rsidRPr="002B0565" w:rsidRDefault="002B0565" w:rsidP="002B0565">
      <w:pPr>
        <w:spacing w:after="0" w:line="240" w:lineRule="auto"/>
        <w:jc w:val="both"/>
        <w:rPr>
          <w:rFonts w:eastAsia="Times New Roman" w:cs="Times New Roman"/>
          <w:szCs w:val="24"/>
          <w:lang w:eastAsia="es-CO"/>
        </w:rPr>
      </w:pPr>
      <w:r w:rsidRPr="002B0565">
        <w:rPr>
          <w:rFonts w:eastAsia="Times New Roman" w:cs="Times New Roman"/>
          <w:szCs w:val="24"/>
          <w:lang w:eastAsia="es-CO"/>
        </w:rPr>
        <w:t>UAE-Dirección de Impuestos y Aduanas Nacionales</w:t>
      </w:r>
    </w:p>
    <w:p w:rsidR="002B0565" w:rsidRPr="002B0565" w:rsidRDefault="002B0565" w:rsidP="002B0565">
      <w:pPr>
        <w:spacing w:after="285" w:line="240" w:lineRule="auto"/>
        <w:jc w:val="both"/>
        <w:rPr>
          <w:rFonts w:eastAsia="Times New Roman" w:cs="Times New Roman"/>
          <w:szCs w:val="24"/>
          <w:lang w:eastAsia="es-CO"/>
        </w:rPr>
      </w:pPr>
      <w:r w:rsidRPr="002B0565">
        <w:rPr>
          <w:rFonts w:eastAsia="Times New Roman" w:cs="Times New Roman"/>
          <w:szCs w:val="24"/>
          <w:lang w:eastAsia="es-CO"/>
        </w:rPr>
        <w:t> </w:t>
      </w:r>
    </w:p>
    <w:p w:rsidR="00730617" w:rsidRPr="002B0565" w:rsidRDefault="00730617">
      <w:pPr>
        <w:rPr>
          <w:rFonts w:cs="Times New Roman"/>
          <w:szCs w:val="24"/>
        </w:rPr>
      </w:pPr>
    </w:p>
    <w:sectPr w:rsidR="00730617" w:rsidRPr="002B0565"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65"/>
    <w:rsid w:val="002B0565"/>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4BC9"/>
  <w15:chartTrackingRefBased/>
  <w15:docId w15:val="{BF8E5E30-EDAF-4FFA-B678-3B3F92B3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1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26863" TargetMode="External"/><Relationship Id="rId5" Type="http://schemas.openxmlformats.org/officeDocument/2006/relationships/hyperlink" Target="https://www.ceta.org.co/html/vista_de_un_articulo.asp?Norma=26863" TargetMode="External"/><Relationship Id="rId4" Type="http://schemas.openxmlformats.org/officeDocument/2006/relationships/hyperlink" Target="https://www.ceta.org.co/html/vista_de_un_articulo.asp?Norma=268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3637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2019-04-26T18:44:00Z</dcterms:created>
  <dcterms:modified xsi:type="dcterms:W3CDTF">2019-04-26T18:46:00Z</dcterms:modified>
</cp:coreProperties>
</file>