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BC" w:rsidRPr="005367BC" w:rsidRDefault="005367BC" w:rsidP="005367BC">
      <w:pPr>
        <w:spacing w:after="0" w:line="240" w:lineRule="auto"/>
        <w:jc w:val="both"/>
        <w:rPr>
          <w:rFonts w:eastAsia="Times New Roman" w:cs="Times New Roman"/>
          <w:szCs w:val="24"/>
        </w:rPr>
      </w:pPr>
      <w:r w:rsidRPr="005367BC">
        <w:rPr>
          <w:rFonts w:eastAsia="Times New Roman" w:cs="Times New Roman"/>
          <w:b/>
          <w:bCs/>
          <w:szCs w:val="24"/>
        </w:rPr>
        <w:t>OFICIO Nº 003209</w:t>
      </w:r>
    </w:p>
    <w:p w:rsidR="005367BC" w:rsidRPr="005367BC" w:rsidRDefault="005367BC" w:rsidP="005367BC">
      <w:pPr>
        <w:spacing w:after="0" w:line="240" w:lineRule="auto"/>
        <w:jc w:val="both"/>
        <w:rPr>
          <w:rFonts w:eastAsia="Times New Roman" w:cs="Times New Roman"/>
          <w:szCs w:val="24"/>
        </w:rPr>
      </w:pPr>
      <w:r w:rsidRPr="005367BC">
        <w:rPr>
          <w:rFonts w:eastAsia="Times New Roman" w:cs="Times New Roman"/>
          <w:b/>
          <w:bCs/>
          <w:szCs w:val="24"/>
        </w:rPr>
        <w:t>09-02-2018</w:t>
      </w:r>
    </w:p>
    <w:p w:rsidR="005367BC" w:rsidRPr="005367BC" w:rsidRDefault="005367BC" w:rsidP="005367BC">
      <w:pPr>
        <w:spacing w:after="0" w:line="240" w:lineRule="auto"/>
        <w:jc w:val="both"/>
        <w:rPr>
          <w:rFonts w:eastAsia="Times New Roman" w:cs="Times New Roman"/>
          <w:szCs w:val="24"/>
        </w:rPr>
      </w:pPr>
      <w:r w:rsidRPr="005367BC">
        <w:rPr>
          <w:rFonts w:eastAsia="Times New Roman" w:cs="Times New Roman"/>
          <w:b/>
          <w:bCs/>
          <w:szCs w:val="24"/>
        </w:rPr>
        <w:t>DIAN</w:t>
      </w:r>
      <w:r>
        <w:rPr>
          <w:rFonts w:eastAsia="Times New Roman" w:cs="Times New Roman"/>
          <w:b/>
          <w:bCs/>
          <w:szCs w:val="24"/>
        </w:rPr>
        <w:t xml:space="preserve">- ES OFICIO HABÌA DEROGADO LOS CONCEPTOS QUE EL OFICIO SIGUIENTE LOS SEÑALA COMO VIGENTES. </w:t>
      </w:r>
    </w:p>
    <w:p w:rsidR="005367BC" w:rsidRPr="005367BC" w:rsidRDefault="005367BC" w:rsidP="005367BC">
      <w:pPr>
        <w:spacing w:after="0" w:line="240" w:lineRule="auto"/>
        <w:jc w:val="both"/>
        <w:rPr>
          <w:rFonts w:eastAsia="Times New Roman" w:cs="Times New Roman"/>
          <w:szCs w:val="24"/>
        </w:rPr>
      </w:pPr>
      <w:r w:rsidRPr="005367BC">
        <w:rPr>
          <w:rFonts w:eastAsia="Times New Roman" w:cs="Times New Roman"/>
          <w:szCs w:val="24"/>
        </w:rPr>
        <w:t> </w:t>
      </w:r>
    </w:p>
    <w:p w:rsidR="005367BC" w:rsidRDefault="005367BC" w:rsidP="005367BC">
      <w:pPr>
        <w:spacing w:after="0" w:line="240" w:lineRule="auto"/>
        <w:jc w:val="both"/>
        <w:rPr>
          <w:rFonts w:eastAsia="Times New Roman" w:cs="Times New Roman"/>
          <w:b/>
          <w:bCs/>
          <w:szCs w:val="24"/>
          <w:lang w:eastAsia="es-CO"/>
        </w:rPr>
      </w:pPr>
    </w:p>
    <w:p w:rsidR="005367BC" w:rsidRDefault="005367BC" w:rsidP="001D092E">
      <w:pPr>
        <w:spacing w:after="0" w:line="240" w:lineRule="auto"/>
        <w:jc w:val="center"/>
        <w:rPr>
          <w:rFonts w:eastAsia="Times New Roman" w:cs="Times New Roman"/>
          <w:b/>
          <w:bCs/>
          <w:szCs w:val="24"/>
          <w:lang w:eastAsia="es-CO"/>
        </w:rPr>
      </w:pPr>
    </w:p>
    <w:p w:rsidR="005367BC" w:rsidRDefault="005367BC" w:rsidP="001D092E">
      <w:pPr>
        <w:spacing w:after="0" w:line="240" w:lineRule="auto"/>
        <w:jc w:val="center"/>
        <w:rPr>
          <w:rFonts w:eastAsia="Times New Roman" w:cs="Times New Roman"/>
          <w:b/>
          <w:bCs/>
          <w:szCs w:val="24"/>
          <w:lang w:eastAsia="es-CO"/>
        </w:rPr>
      </w:pPr>
    </w:p>
    <w:p w:rsidR="005367BC" w:rsidRDefault="005367BC" w:rsidP="001D092E">
      <w:pPr>
        <w:spacing w:after="0" w:line="240" w:lineRule="auto"/>
        <w:jc w:val="center"/>
        <w:rPr>
          <w:rFonts w:eastAsia="Times New Roman" w:cs="Times New Roman"/>
          <w:b/>
          <w:bCs/>
          <w:szCs w:val="24"/>
          <w:lang w:eastAsia="es-CO"/>
        </w:rPr>
      </w:pPr>
    </w:p>
    <w:p w:rsidR="005367BC" w:rsidRDefault="005367BC" w:rsidP="001D092E">
      <w:pPr>
        <w:spacing w:after="0" w:line="240" w:lineRule="auto"/>
        <w:jc w:val="center"/>
        <w:rPr>
          <w:rFonts w:eastAsia="Times New Roman" w:cs="Times New Roman"/>
          <w:b/>
          <w:bCs/>
          <w:szCs w:val="24"/>
          <w:lang w:eastAsia="es-CO"/>
        </w:rPr>
      </w:pPr>
    </w:p>
    <w:p w:rsidR="001D092E" w:rsidRPr="001D092E" w:rsidRDefault="001D092E" w:rsidP="001D092E">
      <w:pPr>
        <w:spacing w:after="0" w:line="240" w:lineRule="auto"/>
        <w:jc w:val="center"/>
        <w:rPr>
          <w:rFonts w:eastAsia="Times New Roman" w:cs="Times New Roman"/>
          <w:szCs w:val="24"/>
          <w:lang w:eastAsia="es-CO"/>
        </w:rPr>
      </w:pPr>
      <w:r w:rsidRPr="001D092E">
        <w:rPr>
          <w:rFonts w:eastAsia="Times New Roman" w:cs="Times New Roman"/>
          <w:b/>
          <w:bCs/>
          <w:szCs w:val="24"/>
          <w:lang w:eastAsia="es-CO"/>
        </w:rPr>
        <w:t>OFICIO Nº 2038 [033661]</w:t>
      </w:r>
    </w:p>
    <w:p w:rsidR="001D092E" w:rsidRPr="001D092E" w:rsidRDefault="001D092E" w:rsidP="001D092E">
      <w:pPr>
        <w:spacing w:after="0" w:line="240" w:lineRule="auto"/>
        <w:jc w:val="center"/>
        <w:rPr>
          <w:rFonts w:eastAsia="Times New Roman" w:cs="Times New Roman"/>
          <w:szCs w:val="24"/>
          <w:lang w:eastAsia="es-CO"/>
        </w:rPr>
      </w:pPr>
      <w:r w:rsidRPr="001D092E">
        <w:rPr>
          <w:rFonts w:eastAsia="Times New Roman" w:cs="Times New Roman"/>
          <w:b/>
          <w:bCs/>
          <w:szCs w:val="24"/>
          <w:lang w:eastAsia="es-CO"/>
        </w:rPr>
        <w:t>20-11-2018</w:t>
      </w:r>
    </w:p>
    <w:p w:rsidR="001D092E" w:rsidRPr="001D092E" w:rsidRDefault="001D092E" w:rsidP="001D092E">
      <w:pPr>
        <w:spacing w:after="0" w:line="240" w:lineRule="auto"/>
        <w:jc w:val="center"/>
        <w:rPr>
          <w:rFonts w:eastAsia="Times New Roman" w:cs="Times New Roman"/>
          <w:szCs w:val="24"/>
          <w:lang w:eastAsia="es-CO"/>
        </w:rPr>
      </w:pPr>
      <w:r w:rsidRPr="001D092E">
        <w:rPr>
          <w:rFonts w:eastAsia="Times New Roman" w:cs="Times New Roman"/>
          <w:b/>
          <w:bCs/>
          <w:szCs w:val="24"/>
          <w:lang w:eastAsia="es-CO"/>
        </w:rPr>
        <w:t>DIAN</w:t>
      </w:r>
    </w:p>
    <w:p w:rsidR="001D092E" w:rsidRPr="001D092E" w:rsidRDefault="001D092E" w:rsidP="001D092E">
      <w:pPr>
        <w:spacing w:after="0" w:line="240" w:lineRule="auto"/>
        <w:jc w:val="both"/>
        <w:rPr>
          <w:rFonts w:eastAsia="Times New Roman" w:cs="Times New Roman"/>
          <w:szCs w:val="24"/>
          <w:lang w:eastAsia="es-CO"/>
        </w:rPr>
      </w:pPr>
      <w:r w:rsidRPr="001D092E">
        <w:rPr>
          <w:rFonts w:eastAsia="Times New Roman" w:cs="Times New Roman"/>
          <w:b/>
          <w:bCs/>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FF"/>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Subdirección de Gestión Normativa y Doctrina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100208221 – 002038</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Bogotá, D.C.</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proofErr w:type="spellStart"/>
      <w:r w:rsidRPr="001D092E">
        <w:rPr>
          <w:rFonts w:eastAsia="Times New Roman" w:cs="Times New Roman"/>
          <w:b/>
          <w:bCs/>
          <w:color w:val="000000"/>
          <w:szCs w:val="24"/>
          <w:lang w:eastAsia="es-CO"/>
        </w:rPr>
        <w:t>Ref</w:t>
      </w:r>
      <w:proofErr w:type="spellEnd"/>
      <w:r w:rsidRPr="001D092E">
        <w:rPr>
          <w:rFonts w:eastAsia="Times New Roman" w:cs="Times New Roman"/>
          <w:b/>
          <w:bCs/>
          <w:color w:val="000000"/>
          <w:szCs w:val="24"/>
          <w:lang w:eastAsia="es-CO"/>
        </w:rPr>
        <w:t>:</w:t>
      </w:r>
      <w:r w:rsidRPr="001D092E">
        <w:rPr>
          <w:rFonts w:eastAsia="Times New Roman" w:cs="Times New Roman"/>
          <w:color w:val="000000"/>
          <w:szCs w:val="24"/>
          <w:lang w:eastAsia="es-CO"/>
        </w:rPr>
        <w:t> Radicado 100065743 del 05/10/2018</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00"/>
          <w:szCs w:val="24"/>
          <w:lang w:eastAsia="es-CO"/>
        </w:rPr>
        <w:t>Tema </w:t>
      </w:r>
      <w:r w:rsidRPr="001D092E">
        <w:rPr>
          <w:rFonts w:eastAsia="Times New Roman" w:cs="Times New Roman"/>
          <w:color w:val="000000"/>
          <w:szCs w:val="24"/>
          <w:lang w:eastAsia="es-CO"/>
        </w:rPr>
        <w:t>Impuesto sobre la renta y complementarios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00"/>
          <w:szCs w:val="24"/>
          <w:lang w:eastAsia="es-CO"/>
        </w:rPr>
        <w:t>Descriptores </w:t>
      </w:r>
      <w:r w:rsidRPr="001D092E">
        <w:rPr>
          <w:rFonts w:eastAsia="Times New Roman" w:cs="Times New Roman"/>
          <w:color w:val="000000"/>
          <w:szCs w:val="24"/>
          <w:lang w:eastAsia="es-CO"/>
        </w:rPr>
        <w:t>Impuestos (Sic) Sobre la Renta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00"/>
          <w:szCs w:val="24"/>
          <w:lang w:eastAsia="es-CO"/>
        </w:rPr>
        <w:t>Fuentes formales </w:t>
      </w:r>
      <w:r w:rsidRPr="001D092E">
        <w:rPr>
          <w:rFonts w:eastAsia="Times New Roman" w:cs="Times New Roman"/>
          <w:color w:val="000000"/>
          <w:szCs w:val="24"/>
          <w:lang w:eastAsia="es-CO"/>
        </w:rPr>
        <w:t>Artículos </w:t>
      </w:r>
      <w:hyperlink r:id="rId4" w:tooltip="Estatuto Tributario CETA" w:history="1">
        <w:r w:rsidRPr="001D092E">
          <w:rPr>
            <w:rFonts w:eastAsia="Times New Roman" w:cs="Times New Roman"/>
            <w:color w:val="0089E1"/>
            <w:szCs w:val="24"/>
            <w:u w:val="single"/>
            <w:lang w:eastAsia="es-CO"/>
          </w:rPr>
          <w:t>26</w:t>
        </w:r>
      </w:hyperlink>
      <w:r w:rsidRPr="001D092E">
        <w:rPr>
          <w:rFonts w:eastAsia="Times New Roman" w:cs="Times New Roman"/>
          <w:color w:val="000000"/>
          <w:szCs w:val="24"/>
          <w:lang w:eastAsia="es-CO"/>
        </w:rPr>
        <w:t>, </w:t>
      </w:r>
      <w:hyperlink r:id="rId5" w:tooltip="Estatuto Tributario CETA" w:history="1">
        <w:r w:rsidRPr="001D092E">
          <w:rPr>
            <w:rFonts w:eastAsia="Times New Roman" w:cs="Times New Roman"/>
            <w:color w:val="0089E1"/>
            <w:szCs w:val="24"/>
            <w:u w:val="single"/>
            <w:lang w:eastAsia="es-CO"/>
          </w:rPr>
          <w:t>381</w:t>
        </w:r>
      </w:hyperlink>
      <w:r w:rsidRPr="001D092E">
        <w:rPr>
          <w:rFonts w:eastAsia="Times New Roman" w:cs="Times New Roman"/>
          <w:color w:val="000000"/>
          <w:szCs w:val="24"/>
          <w:lang w:eastAsia="es-CO"/>
        </w:rPr>
        <w:t>, </w:t>
      </w:r>
      <w:hyperlink r:id="rId6" w:tooltip="Estatuto Tributario CETA" w:history="1">
        <w:r w:rsidRPr="001D092E">
          <w:rPr>
            <w:rFonts w:eastAsia="Times New Roman" w:cs="Times New Roman"/>
            <w:color w:val="0089E1"/>
            <w:szCs w:val="24"/>
            <w:u w:val="single"/>
            <w:lang w:eastAsia="es-CO"/>
          </w:rPr>
          <w:t>596</w:t>
        </w:r>
      </w:hyperlink>
      <w:r w:rsidRPr="001D092E">
        <w:rPr>
          <w:rFonts w:eastAsia="Times New Roman" w:cs="Times New Roman"/>
          <w:color w:val="000000"/>
          <w:szCs w:val="24"/>
          <w:lang w:eastAsia="es-CO"/>
        </w:rPr>
        <w:t>, </w:t>
      </w:r>
      <w:hyperlink r:id="rId7" w:tooltip="Estatuto Tributario CETA" w:history="1">
        <w:r w:rsidRPr="001D092E">
          <w:rPr>
            <w:rFonts w:eastAsia="Times New Roman" w:cs="Times New Roman"/>
            <w:color w:val="0089E1"/>
            <w:szCs w:val="24"/>
            <w:u w:val="single"/>
            <w:lang w:eastAsia="es-CO"/>
          </w:rPr>
          <w:t>800</w:t>
        </w:r>
      </w:hyperlink>
      <w:r w:rsidRPr="001D092E">
        <w:rPr>
          <w:rFonts w:eastAsia="Times New Roman" w:cs="Times New Roman"/>
          <w:color w:val="000000"/>
          <w:szCs w:val="24"/>
          <w:lang w:eastAsia="es-CO"/>
        </w:rPr>
        <w:t> del Estatuto Tributario, Artículo 1.2.4.2.32 del Decreto 1625 de 2016.</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xml:space="preserve">Cordial saludo, señora Silvia </w:t>
      </w:r>
      <w:proofErr w:type="spellStart"/>
      <w:r w:rsidRPr="001D092E">
        <w:rPr>
          <w:rFonts w:eastAsia="Times New Roman" w:cs="Times New Roman"/>
          <w:color w:val="000000"/>
          <w:szCs w:val="24"/>
          <w:lang w:eastAsia="es-CO"/>
        </w:rPr>
        <w:t>Steffany</w:t>
      </w:r>
      <w:proofErr w:type="spellEnd"/>
      <w:r w:rsidRPr="001D092E">
        <w:rPr>
          <w:rFonts w:eastAsia="Times New Roman" w:cs="Times New Roman"/>
          <w:color w:val="000000"/>
          <w:szCs w:val="24"/>
          <w:lang w:eastAsia="es-CO"/>
        </w:rPr>
        <w:t>:</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En consecuencia, las competencias que por ley están atribuidas a esta Subdirección no conllevan la de resolver problemas sobre temas específicos que correspondan a un caso particular o prestar asesoría respecto de asuntos debatidos ante autoridades judiciales.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Ahora, en cuanto a las preguntas formuladas y que para atender con mayor precisión sus inquietudes se enunciarán más adelante, sirve para todas de manera preliminar tener en cuenta el fundamento siguiente: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Según el </w:t>
      </w:r>
      <w:hyperlink r:id="rId8" w:tooltip="Estatuto Tributario CETA" w:history="1">
        <w:r w:rsidRPr="001D092E">
          <w:rPr>
            <w:rFonts w:eastAsia="Times New Roman" w:cs="Times New Roman"/>
            <w:color w:val="0089E1"/>
            <w:szCs w:val="24"/>
            <w:u w:val="single"/>
            <w:lang w:eastAsia="es-CO"/>
          </w:rPr>
          <w:t>artículo 26</w:t>
        </w:r>
      </w:hyperlink>
      <w:r w:rsidRPr="001D092E">
        <w:rPr>
          <w:rFonts w:eastAsia="Times New Roman" w:cs="Times New Roman"/>
          <w:color w:val="000000"/>
          <w:szCs w:val="24"/>
          <w:lang w:eastAsia="es-CO"/>
        </w:rPr>
        <w:t> del Estatuto Tributario todo ingreso susceptible de producir un incremento neto en el patrimonio en el momento de su percepción, que no haya sido expresamente exceptuado, restados los costos y deducciones, es renta líquida gravable y sobre esta renta se aplican las tarifas señaladas en la ley.</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w:t>
      </w:r>
      <w:hyperlink r:id="rId9" w:tooltip="Estatuto Tributario CETA" w:history="1">
        <w:r w:rsidRPr="001D092E">
          <w:rPr>
            <w:rFonts w:eastAsia="Times New Roman" w:cs="Times New Roman"/>
            <w:b/>
            <w:bCs/>
            <w:i/>
            <w:iCs/>
            <w:color w:val="0089E1"/>
            <w:szCs w:val="24"/>
            <w:u w:val="single"/>
            <w:lang w:eastAsia="es-CO"/>
          </w:rPr>
          <w:t>ARTÍCULO 26</w:t>
        </w:r>
      </w:hyperlink>
      <w:r w:rsidRPr="001D092E">
        <w:rPr>
          <w:rFonts w:eastAsia="Times New Roman" w:cs="Times New Roman"/>
          <w:b/>
          <w:bCs/>
          <w:i/>
          <w:iCs/>
          <w:color w:val="000000"/>
          <w:szCs w:val="24"/>
          <w:lang w:eastAsia="es-CO"/>
        </w:rPr>
        <w:t>. LOS INGRESOS SON BASE DE LA RENTA LÍQUIDA.</w:t>
      </w:r>
      <w:r w:rsidRPr="001D092E">
        <w:rPr>
          <w:rFonts w:eastAsia="Times New Roman" w:cs="Times New Roman"/>
          <w:i/>
          <w:iCs/>
          <w:color w:val="000000"/>
          <w:szCs w:val="24"/>
          <w:lang w:eastAsia="es-CO"/>
        </w:rPr>
        <w:t> &lt;Fuente original compilada: D. 2053/74 Art. 15&gt; 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lastRenderedPageBreak/>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Una vez nace la obligación, el sujeto pasivo de la obligación, esto es sobre quien recae el impuesto, debe poner en conocimiento la obligación tributaria surgida de los hechos gravados al Estado (sujeto activo), mediante la declaración privada de ese impuesto. El </w:t>
      </w:r>
      <w:hyperlink r:id="rId10" w:tooltip="Estatuto Tributario CETA" w:history="1">
        <w:r w:rsidRPr="001D092E">
          <w:rPr>
            <w:rFonts w:eastAsia="Times New Roman" w:cs="Times New Roman"/>
            <w:color w:val="0089E1"/>
            <w:szCs w:val="24"/>
            <w:u w:val="single"/>
            <w:lang w:eastAsia="es-CO"/>
          </w:rPr>
          <w:t>artículo 596</w:t>
        </w:r>
      </w:hyperlink>
      <w:r w:rsidRPr="001D092E">
        <w:rPr>
          <w:rFonts w:eastAsia="Times New Roman" w:cs="Times New Roman"/>
          <w:color w:val="000000"/>
          <w:szCs w:val="24"/>
          <w:lang w:eastAsia="es-CO"/>
        </w:rPr>
        <w:t> del Estatuto Tributario, indican los elementos de la declaración privada, es decir hecha por el contribuyente, de la forma de declarar el impuesto de renta.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w:t>
      </w:r>
      <w:hyperlink r:id="rId11" w:tooltip="Estatuto Tributario CETA" w:history="1">
        <w:r w:rsidRPr="001D092E">
          <w:rPr>
            <w:rFonts w:eastAsia="Times New Roman" w:cs="Times New Roman"/>
            <w:b/>
            <w:bCs/>
            <w:i/>
            <w:iCs/>
            <w:color w:val="0089E1"/>
            <w:szCs w:val="24"/>
            <w:u w:val="single"/>
            <w:lang w:eastAsia="es-CO"/>
          </w:rPr>
          <w:t>ARTÍCULO 596</w:t>
        </w:r>
      </w:hyperlink>
      <w:r w:rsidRPr="001D092E">
        <w:rPr>
          <w:rFonts w:eastAsia="Times New Roman" w:cs="Times New Roman"/>
          <w:b/>
          <w:bCs/>
          <w:i/>
          <w:iCs/>
          <w:color w:val="000000"/>
          <w:szCs w:val="24"/>
          <w:lang w:eastAsia="es-CO"/>
        </w:rPr>
        <w:t>. CONTENIDO DE LA DECLARACIÓN DE RENTA.</w:t>
      </w:r>
      <w:r w:rsidRPr="001D092E">
        <w:rPr>
          <w:rFonts w:eastAsia="Times New Roman" w:cs="Times New Roman"/>
          <w:i/>
          <w:iCs/>
          <w:color w:val="000000"/>
          <w:szCs w:val="24"/>
          <w:lang w:eastAsia="es-CO"/>
        </w:rPr>
        <w:t> &lt;Fuente original compilada: D. 2503/87 Art. 4o.&gt; La declaración del impuesto sobre la renta y complementarios deberá presentarse en el formulario que para tal efecto señale la Dirección General de Impuestos Nacionales</w:t>
      </w:r>
      <w:r w:rsidRPr="001D092E">
        <w:rPr>
          <w:rFonts w:eastAsia="Times New Roman" w:cs="Times New Roman"/>
          <w:i/>
          <w:iCs/>
          <w:color w:val="000000"/>
          <w:szCs w:val="24"/>
          <w:vertAlign w:val="superscript"/>
          <w:lang w:eastAsia="es-CO"/>
        </w:rPr>
        <w:t>&lt;1&gt;</w:t>
      </w:r>
      <w:r w:rsidRPr="001D092E">
        <w:rPr>
          <w:rFonts w:eastAsia="Times New Roman" w:cs="Times New Roman"/>
          <w:i/>
          <w:iCs/>
          <w:color w:val="000000"/>
          <w:szCs w:val="24"/>
          <w:lang w:eastAsia="es-CO"/>
        </w:rPr>
        <w:t>. Esta declaración deberá contener:</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1. El formulario que para el efecto señale la Dirección General de Impuestos Nacionales debidamente diligenciado.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2. La información necesaria para la identificación y ubicación del contribuyente.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3. La discriminación de los factores necesarios para determinar las bases gravables del impuesto sobre la renta y complementarios.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4. La liquidación privada del impuesto sobre la renta y complementarios, incluidos el anticipo y las sanciones, cuando fuere del caso.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5. La firma de quien cumpla el deber formal de declarar, o la identificación en el caso de las personas naturales, a través de los medios que establezca el Gobierno Nacional.</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6. La firma del revisor fiscal cuando se trate de contribuyentes obligados a llevar libros de contabilidad y que, de conformidad con el Código de Comercio y demás normas vigentes sobre la materia, estén obligados a tener Revisor Fiscal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La extinción de la obligación es el pago que debe hacer el sujeto pasivo de la obligación ante el Fisco Nacional a través del sistema bancario, según lo previsto en el </w:t>
      </w:r>
      <w:hyperlink r:id="rId12" w:tooltip="Estatuto Tributario CETA" w:history="1">
        <w:r w:rsidRPr="001D092E">
          <w:rPr>
            <w:rFonts w:eastAsia="Times New Roman" w:cs="Times New Roman"/>
            <w:color w:val="0089E1"/>
            <w:szCs w:val="24"/>
            <w:u w:val="single"/>
            <w:lang w:eastAsia="es-CO"/>
          </w:rPr>
          <w:t>artículo 800</w:t>
        </w:r>
      </w:hyperlink>
      <w:r w:rsidRPr="001D092E">
        <w:rPr>
          <w:rFonts w:eastAsia="Times New Roman" w:cs="Times New Roman"/>
          <w:color w:val="000000"/>
          <w:szCs w:val="24"/>
          <w:lang w:eastAsia="es-CO"/>
        </w:rPr>
        <w:t> del Estatuto Tributario: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w:t>
      </w:r>
      <w:hyperlink r:id="rId13" w:tooltip="Estatuto Tributario CETA" w:history="1">
        <w:r w:rsidRPr="001D092E">
          <w:rPr>
            <w:rFonts w:eastAsia="Times New Roman" w:cs="Times New Roman"/>
            <w:b/>
            <w:bCs/>
            <w:i/>
            <w:iCs/>
            <w:color w:val="0089E1"/>
            <w:szCs w:val="24"/>
            <w:u w:val="single"/>
            <w:lang w:eastAsia="es-CO"/>
          </w:rPr>
          <w:t>ARTÍCULO 800</w:t>
        </w:r>
      </w:hyperlink>
      <w:r w:rsidRPr="001D092E">
        <w:rPr>
          <w:rFonts w:eastAsia="Times New Roman" w:cs="Times New Roman"/>
          <w:b/>
          <w:bCs/>
          <w:i/>
          <w:iCs/>
          <w:color w:val="000000"/>
          <w:szCs w:val="24"/>
          <w:lang w:eastAsia="es-CO"/>
        </w:rPr>
        <w:t>. LUGAR DE PAGO. </w:t>
      </w:r>
      <w:r w:rsidRPr="001D092E">
        <w:rPr>
          <w:rFonts w:eastAsia="Times New Roman" w:cs="Times New Roman"/>
          <w:i/>
          <w:iCs/>
          <w:color w:val="000000"/>
          <w:szCs w:val="24"/>
          <w:lang w:eastAsia="es-CO"/>
        </w:rPr>
        <w:t>El pago de los impuestos, anticipos y retenciones, deberá efectuarse en los lugares que para tal efecto señale el Gobierno Nacional.</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El Gobierno Nacional podrá recaudar total o parcialmente los impuestos, anticipos, retenciones, sanciones e intereses administrados por la Dirección General de Impuestos Nacionales, a través de bancos y demás entidades financieras”.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La retención en la fuente es un mecanismo anticipado del pago del impuesto que, según el </w:t>
      </w:r>
      <w:hyperlink r:id="rId14" w:tooltip="Estatuto Tributario CETA" w:history="1">
        <w:r w:rsidRPr="001D092E">
          <w:rPr>
            <w:rFonts w:eastAsia="Times New Roman" w:cs="Times New Roman"/>
            <w:color w:val="0089E1"/>
            <w:szCs w:val="24"/>
            <w:u w:val="single"/>
            <w:lang w:eastAsia="es-CO"/>
          </w:rPr>
          <w:t>artículo 365</w:t>
        </w:r>
      </w:hyperlink>
      <w:r w:rsidRPr="001D092E">
        <w:rPr>
          <w:rFonts w:eastAsia="Times New Roman" w:cs="Times New Roman"/>
          <w:color w:val="000000"/>
          <w:szCs w:val="24"/>
          <w:lang w:eastAsia="es-CO"/>
        </w:rPr>
        <w:t> del Estatuto Tributario, tiene como finalidad facilitar, acelerar y asegurar el recaudo del impuesto sobre la renta.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“Mediante la retención en la fuente un particular, denominado agente de retención, al efectuar un pago o abono en cuenta a un sujeto pasivo del tributo, por un concepto que forma parte constitutiva del hecho gravado, es obligado por la ley a abstenerse de pagar parte de la obligación con el beneficiario, a fin de que esta parte retenida sea entregada al Fisco, como una buena cuenta del sujeto pasivo del tributo … Cuando el sujeto pasivo del tributo hace la presentación de la declaración y liquida privadamente el valor de la obligación, tiene derecho a descontar de la suma a pagar la cuantía de las retenciones en la fuente realizadas … </w:t>
      </w:r>
      <w:r w:rsidRPr="001D092E">
        <w:rPr>
          <w:rFonts w:eastAsia="Times New Roman" w:cs="Times New Roman"/>
          <w:color w:val="000000"/>
          <w:szCs w:val="24"/>
          <w:lang w:eastAsia="es-CO"/>
        </w:rPr>
        <w:t xml:space="preserve">(Bravo Arteaga, Juan Rafael. “Nociones Fundamentales del Derecho Tributario. Editorial </w:t>
      </w:r>
      <w:proofErr w:type="spellStart"/>
      <w:r w:rsidRPr="001D092E">
        <w:rPr>
          <w:rFonts w:eastAsia="Times New Roman" w:cs="Times New Roman"/>
          <w:color w:val="000000"/>
          <w:szCs w:val="24"/>
          <w:lang w:eastAsia="es-CO"/>
        </w:rPr>
        <w:t>Legis</w:t>
      </w:r>
      <w:proofErr w:type="spellEnd"/>
      <w:r w:rsidRPr="001D092E">
        <w:rPr>
          <w:rFonts w:eastAsia="Times New Roman" w:cs="Times New Roman"/>
          <w:color w:val="000000"/>
          <w:szCs w:val="24"/>
          <w:lang w:eastAsia="es-CO"/>
        </w:rPr>
        <w:t xml:space="preserve"> 2000. Bogotá. Página 337 y 338).</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Además, el </w:t>
      </w:r>
      <w:hyperlink r:id="rId15" w:tooltip="Estatuto Tributario CETA" w:history="1">
        <w:r w:rsidRPr="001D092E">
          <w:rPr>
            <w:rFonts w:eastAsia="Times New Roman" w:cs="Times New Roman"/>
            <w:color w:val="0089E1"/>
            <w:szCs w:val="24"/>
            <w:u w:val="single"/>
            <w:lang w:eastAsia="es-CO"/>
          </w:rPr>
          <w:t>artículo 381</w:t>
        </w:r>
      </w:hyperlink>
      <w:r w:rsidRPr="001D092E">
        <w:rPr>
          <w:rFonts w:eastAsia="Times New Roman" w:cs="Times New Roman"/>
          <w:color w:val="000000"/>
          <w:szCs w:val="24"/>
          <w:lang w:eastAsia="es-CO"/>
        </w:rPr>
        <w:t> del Estatuto Tributario, establece la obligación y los requisitos que debe expedir el agente que ha efectuado la retención.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w:t>
      </w:r>
      <w:hyperlink r:id="rId16" w:tooltip="Estatuto Tributario CETA" w:history="1">
        <w:r w:rsidRPr="001D092E">
          <w:rPr>
            <w:rFonts w:eastAsia="Times New Roman" w:cs="Times New Roman"/>
            <w:b/>
            <w:bCs/>
            <w:i/>
            <w:iCs/>
            <w:color w:val="0089E1"/>
            <w:szCs w:val="24"/>
            <w:u w:val="single"/>
            <w:lang w:eastAsia="es-CO"/>
          </w:rPr>
          <w:t>ARTÍCULO 381</w:t>
        </w:r>
      </w:hyperlink>
      <w:r w:rsidRPr="001D092E">
        <w:rPr>
          <w:rFonts w:eastAsia="Times New Roman" w:cs="Times New Roman"/>
          <w:b/>
          <w:bCs/>
          <w:i/>
          <w:iCs/>
          <w:color w:val="000000"/>
          <w:szCs w:val="24"/>
          <w:lang w:eastAsia="es-CO"/>
        </w:rPr>
        <w:t>. CERTIFICADOS POR OTROS CONCEPTOS.</w:t>
      </w:r>
      <w:r w:rsidRPr="001D092E">
        <w:rPr>
          <w:rFonts w:eastAsia="Times New Roman" w:cs="Times New Roman"/>
          <w:i/>
          <w:iCs/>
          <w:color w:val="000000"/>
          <w:szCs w:val="24"/>
          <w:lang w:eastAsia="es-CO"/>
        </w:rPr>
        <w:t> &lt;Fuente original compilada: D. 2503/87 Art. 29&gt; Cuando se trate de conceptos de retención diferentes de los originados en la relación laboral, o legal y reglamentaria, los agentes retenedores deberán expedir anualmente un certificado de retenciones que contendrá:</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 Año gravable y ciudad donde se consignó la retención.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b. Apellidos y nombre o razón social y NIT del retenedor.</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c. Dirección del agente retenedor.</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d. Apellidos y nombre o razón social y NIT de la persona o entidad a quien se le practicó la retención.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 Monto total y concepto del pago sujeto a retención.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f. Concepto y cuantía de la retención efectuada.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g. La firma del pagador o agente retenedor.</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 solicitud de la persona o entidad beneficiaria del pago, el retenedor expedirá un certificado por cada retención efectuada, el cual deberá contener las mismas especificaciones del certificado anual.</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PARÁGRAFO 1o.</w:t>
      </w:r>
      <w:r w:rsidRPr="001D092E">
        <w:rPr>
          <w:rFonts w:eastAsia="Times New Roman" w:cs="Times New Roman"/>
          <w:i/>
          <w:iCs/>
          <w:color w:val="000000"/>
          <w:szCs w:val="24"/>
          <w:lang w:eastAsia="es-CO"/>
        </w:rPr>
        <w:t> Las personas o entidades sometidas a retención en la fuente podrán sustituir los certificados a que se refiere el presente artículo, cuando estos no hubieren sido expedidos, por el original, copia o fotocopia auténtica de la factura o documento donde conste el pago, siempre y cuando en él aparezcan identificados los conceptos antes señalados.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PARÁGRAFO 2o.</w:t>
      </w:r>
      <w:r w:rsidRPr="001D092E">
        <w:rPr>
          <w:rFonts w:eastAsia="Times New Roman" w:cs="Times New Roman"/>
          <w:i/>
          <w:iCs/>
          <w:color w:val="000000"/>
          <w:szCs w:val="24"/>
          <w:lang w:eastAsia="es-CO"/>
        </w:rPr>
        <w:t> El Gobierno Nacional podrá eliminar la obligación de expedir el certificado de retenciones a que se refieren este y el artículo anterior, creando mecanismos automáticos de imputación de la retención que lo sustituyan.</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Sobre el pago de sentencias e indemnizaciones para mayor ilustración, se explica lo siguiente: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Sobre los pagos, intereses, exenciones y retenciones sobre rendimientos e intereses, provenientes de sentencias judiciales, este Despacho en Concepto número 046276 del 8 de junio de 2009, dijo: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Ahora bien, el </w:t>
      </w:r>
      <w:hyperlink r:id="rId17" w:tooltip="Estatuto Tributario CETA" w:history="1">
        <w:r w:rsidRPr="001D092E">
          <w:rPr>
            <w:rFonts w:eastAsia="Times New Roman" w:cs="Times New Roman"/>
            <w:i/>
            <w:iCs/>
            <w:color w:val="0089E1"/>
            <w:szCs w:val="24"/>
            <w:u w:val="single"/>
            <w:lang w:eastAsia="es-CO"/>
          </w:rPr>
          <w:t>artículo 395</w:t>
        </w:r>
      </w:hyperlink>
      <w:r w:rsidRPr="001D092E">
        <w:rPr>
          <w:rFonts w:eastAsia="Times New Roman" w:cs="Times New Roman"/>
          <w:i/>
          <w:iCs/>
          <w:color w:val="000000"/>
          <w:szCs w:val="24"/>
          <w:lang w:eastAsia="es-CO"/>
        </w:rPr>
        <w:t> del Estatuto Tributario, establece retención en la fuente sobre los pagos o abonos en cuenta que efectúen las personas jurídicas y sociedades de hecho, por concepto de rendimientos financieros, tales como, intereses, descuentos, beneficios, ganancias, utilidades y, </w:t>
      </w:r>
      <w:r w:rsidRPr="001D092E">
        <w:rPr>
          <w:rFonts w:eastAsia="Times New Roman" w:cs="Times New Roman"/>
          <w:i/>
          <w:iCs/>
          <w:color w:val="000000"/>
          <w:szCs w:val="24"/>
          <w:u w:val="single"/>
          <w:lang w:eastAsia="es-CO"/>
        </w:rPr>
        <w:t>en general, lo correspondiente a rendimientos de capital o a diferencias entre valor presente y valor futuro de este, cualesquiera sean las condiciones o nominaciones que se determinen para el efecto.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Como se observa, la norma tributaria no señala expresamente los intereses moratorios pagados por el retardo en el cumplimiento de una sentencia judicial, pero si establece la retención en la fuente sobre los pagos o abonos en cuenta que efectúen los agentes retenedores por concepto de intereses, sin hacer distinción alguna al tipo, origen ni naturaleza del interés.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 contrario sensu, es un ingreso propio, realizado durante el respectivo período fiscal en que se percibe, susceptible de capitalizarse, y no figura taxativamente como no gravado.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En reiterados pronunciamientos las Altas Cortes y este despacho, han confirmado que, las exenciones o beneficios tributarios son taxativos y restrictivos, no siendo viable su extensión por vía de interpretación ni por analogía. Aspectos, por los cuales, para el caso en estudio, no le es aplicable el aforismo de que “lo accesorio sigue la suerte de lo principal”, tal y como lo refería el concepto en revisión para un caso específico, en que ambos conceptos eran exentos del impuesto sobre la renta.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Cabe anotar que, de acuerdo al artículo 27 del Código Civil, cuando el sentido de la ley es claro, no se desatenderá su tenor literal so pretexto de consultar su espíritu.</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En consecuencia, al no estar expresamente señalados como ingresos exentos o no constitutivos de renta ni ganancia ocasional, los intereses de mora generados por el retardo en el pago de sentencias judiciales, cuyos pagos son efectuados por las personas jurídicas o naturales que actúan como agentes de retención en la fuente, están sujetos a retención en la fuente a título de impuesto a la renta y complementario, por concepto de rendimientos financieros, </w:t>
      </w:r>
      <w:r w:rsidRPr="001D092E">
        <w:rPr>
          <w:rFonts w:eastAsia="Times New Roman" w:cs="Times New Roman"/>
          <w:i/>
          <w:iCs/>
          <w:color w:val="000000"/>
          <w:szCs w:val="24"/>
          <w:u w:val="single"/>
          <w:lang w:eastAsia="es-CO"/>
        </w:rPr>
        <w:t xml:space="preserve">siéndoles aplicables la tarifa del 7%. (Art 3o </w:t>
      </w:r>
      <w:proofErr w:type="spellStart"/>
      <w:r w:rsidRPr="001D092E">
        <w:rPr>
          <w:rFonts w:eastAsia="Times New Roman" w:cs="Times New Roman"/>
          <w:i/>
          <w:iCs/>
          <w:color w:val="000000"/>
          <w:szCs w:val="24"/>
          <w:u w:val="single"/>
          <w:lang w:eastAsia="es-CO"/>
        </w:rPr>
        <w:t>Dcto</w:t>
      </w:r>
      <w:proofErr w:type="spellEnd"/>
      <w:r w:rsidRPr="001D092E">
        <w:rPr>
          <w:rFonts w:eastAsia="Times New Roman" w:cs="Times New Roman"/>
          <w:i/>
          <w:iCs/>
          <w:color w:val="000000"/>
          <w:szCs w:val="24"/>
          <w:u w:val="single"/>
          <w:lang w:eastAsia="es-CO"/>
        </w:rPr>
        <w:t xml:space="preserve"> 3715/86).</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No obstante, cuando los intereses por el no pago oportuno de sentencias judiciales, corresponda como en el caso inicialmente referido en la Sentencia 11891 de 2001, a ingresos laborales exentos, así como sus intereses, la sanción moratoria también se encuentra exenta.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Las indemnizaciones diferentes de las laborales con ocasión de demandas contra el Estado y contempladas en los artículos </w:t>
      </w:r>
      <w:hyperlink r:id="rId18" w:tooltip="Estatuto Tributario CETA" w:history="1">
        <w:r w:rsidRPr="001D092E">
          <w:rPr>
            <w:rFonts w:eastAsia="Times New Roman" w:cs="Times New Roman"/>
            <w:i/>
            <w:iCs/>
            <w:color w:val="0089E1"/>
            <w:szCs w:val="24"/>
            <w:u w:val="single"/>
            <w:lang w:eastAsia="es-CO"/>
          </w:rPr>
          <w:t>45</w:t>
        </w:r>
      </w:hyperlink>
      <w:r w:rsidRPr="001D092E">
        <w:rPr>
          <w:rFonts w:eastAsia="Times New Roman" w:cs="Times New Roman"/>
          <w:i/>
          <w:iCs/>
          <w:color w:val="000000"/>
          <w:szCs w:val="24"/>
          <w:lang w:eastAsia="es-CO"/>
        </w:rPr>
        <w:t> y </w:t>
      </w:r>
      <w:hyperlink r:id="rId19" w:tooltip="Estatuto Tributario CETA" w:history="1">
        <w:r w:rsidRPr="001D092E">
          <w:rPr>
            <w:rFonts w:eastAsia="Times New Roman" w:cs="Times New Roman"/>
            <w:i/>
            <w:iCs/>
            <w:color w:val="0089E1"/>
            <w:szCs w:val="24"/>
            <w:u w:val="single"/>
            <w:lang w:eastAsia="es-CO"/>
          </w:rPr>
          <w:t>223</w:t>
        </w:r>
      </w:hyperlink>
      <w:r w:rsidRPr="001D092E">
        <w:rPr>
          <w:rFonts w:eastAsia="Times New Roman" w:cs="Times New Roman"/>
          <w:i/>
          <w:iCs/>
          <w:color w:val="000000"/>
          <w:szCs w:val="24"/>
          <w:lang w:eastAsia="es-CO"/>
        </w:rPr>
        <w:t> del Estatuto Tributario, cuando los beneficiarios sean residentes en el país, están sometidas a retención en la fuente a la tarifa del 20%. (</w:t>
      </w:r>
      <w:hyperlink r:id="rId20" w:tooltip="Estatuto Tributario CETA" w:history="1">
        <w:r w:rsidRPr="001D092E">
          <w:rPr>
            <w:rFonts w:eastAsia="Times New Roman" w:cs="Times New Roman"/>
            <w:i/>
            <w:iCs/>
            <w:color w:val="0089E1"/>
            <w:szCs w:val="24"/>
            <w:u w:val="single"/>
            <w:lang w:eastAsia="es-CO"/>
          </w:rPr>
          <w:t>Art 401-2</w:t>
        </w:r>
      </w:hyperlink>
      <w:r w:rsidRPr="001D092E">
        <w:rPr>
          <w:rFonts w:eastAsia="Times New Roman" w:cs="Times New Roman"/>
          <w:i/>
          <w:iCs/>
          <w:color w:val="000000"/>
          <w:szCs w:val="24"/>
          <w:lang w:eastAsia="es-CO"/>
        </w:rPr>
        <w:t> E.T.)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Así mismo, sobre indemnizaciones y retenciones, daño emergente, en el Oficio 021652 del 16 de agosto de 2018, se explicó:</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“En primer lugar, es necesario tener presente que, la definición de indemnización consagrada en el artículo 1613 del Código Civil Colombiano, comprende </w:t>
      </w:r>
      <w:r w:rsidRPr="001D092E">
        <w:rPr>
          <w:rFonts w:eastAsia="Times New Roman" w:cs="Times New Roman"/>
          <w:b/>
          <w:bCs/>
          <w:i/>
          <w:iCs/>
          <w:color w:val="000000"/>
          <w:szCs w:val="24"/>
          <w:lang w:eastAsia="es-CO"/>
        </w:rPr>
        <w:t>el daño emergente y el lucro cesante, </w:t>
      </w:r>
      <w:r w:rsidRPr="001D092E">
        <w:rPr>
          <w:rFonts w:eastAsia="Times New Roman" w:cs="Times New Roman"/>
          <w:i/>
          <w:iCs/>
          <w:color w:val="000000"/>
          <w:szCs w:val="24"/>
          <w:lang w:eastAsia="es-CO"/>
        </w:rPr>
        <w:t>los cuales se encuentra definidos en el artículo subsiguiente de la siguiente manera: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“ARTÍCULO 1614. DAÑO EMERGENTE Y LUCRO CESANTE. </w:t>
      </w:r>
      <w:r w:rsidRPr="001D092E">
        <w:rPr>
          <w:rFonts w:eastAsia="Times New Roman" w:cs="Times New Roman"/>
          <w:i/>
          <w:iCs/>
          <w:color w:val="000000"/>
          <w:szCs w:val="24"/>
          <w:lang w:eastAsia="es-CO"/>
        </w:rPr>
        <w:t>Entiéndase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Así las cosas, podemos observar que las indemnizaciones tienen como finalidad reparar el deterioro o perjuicio causado a una persona en sus bienes o derechos y tienen una equivalencia pecuniaria determinada o determinable. Los daños patrimoniales causados se clasifican como, “lucro cesante”, beneficio que se deja de percibir o no se podrá percibir por razón de una acción u omisión; y daño emergente, como la pérdida de un bien económico que se encuentra dentro del patrimonio de la persona afectada por dicho acto o (sic) omisión.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1) Tratamiento tributario de las indemnizaciones en el Impuesto sobre la Renta y Complementarios.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De acuerdo con el </w:t>
      </w:r>
      <w:hyperlink r:id="rId21" w:tooltip="Estatuto Tributario CETA" w:history="1">
        <w:r w:rsidRPr="001D092E">
          <w:rPr>
            <w:rFonts w:eastAsia="Times New Roman" w:cs="Times New Roman"/>
            <w:i/>
            <w:iCs/>
            <w:color w:val="0089E1"/>
            <w:szCs w:val="24"/>
            <w:u w:val="single"/>
            <w:lang w:eastAsia="es-CO"/>
          </w:rPr>
          <w:t>artículo 26</w:t>
        </w:r>
      </w:hyperlink>
      <w:r w:rsidRPr="001D092E">
        <w:rPr>
          <w:rFonts w:eastAsia="Times New Roman" w:cs="Times New Roman"/>
          <w:i/>
          <w:iCs/>
          <w:color w:val="000000"/>
          <w:szCs w:val="24"/>
          <w:lang w:eastAsia="es-CO"/>
        </w:rPr>
        <w:t> del Estatuto Tributario, los ingresos susceptibles de incrementar el patrimonio, están gravados con el impuesto sobre la renta y complementarios, a menos que exista ley especial que los exceptúe. Por lo cual los ingresos por conceptos de indemnizaciones en principio se encuentran gravados con el impuesto sobre la renta y complementarios.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a) Indemnización por daño emergente: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Ahora bien, no todos los pagos por concepto de indemnizaciones son susceptibles de constituir renta gravable tal y como lo establece el artículo 17 del Decreto 187 de 1975:</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“Artículo 17. </w:t>
      </w:r>
      <w:r w:rsidRPr="001D092E">
        <w:rPr>
          <w:rFonts w:eastAsia="Times New Roman" w:cs="Times New Roman"/>
          <w:i/>
          <w:iCs/>
          <w:color w:val="000000"/>
          <w:szCs w:val="24"/>
          <w:lang w:eastAsia="es-CO"/>
        </w:rPr>
        <w:t>Para los efectos del artículo 15 del Decreto 2053 de 1974, se entiende que un ingreso puede producir incremento neto del patrimonio, cuando es susceptible de capitalización aun cuando esta no se haya realizado efectivamente al fin del ejercicio.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No son susceptibles de producir incremento neto del patrimonio los ingresos por reembolso de capital o </w:t>
      </w:r>
      <w:r w:rsidRPr="001D092E">
        <w:rPr>
          <w:rFonts w:eastAsia="Times New Roman" w:cs="Times New Roman"/>
          <w:b/>
          <w:bCs/>
          <w:i/>
          <w:iCs/>
          <w:color w:val="000000"/>
          <w:szCs w:val="24"/>
          <w:lang w:eastAsia="es-CO"/>
        </w:rPr>
        <w:t>indemnización por daño emergente.”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De igual forma el </w:t>
      </w:r>
      <w:hyperlink r:id="rId22" w:tooltip="Estatuto Tributario CETA" w:history="1">
        <w:r w:rsidRPr="001D092E">
          <w:rPr>
            <w:rFonts w:eastAsia="Times New Roman" w:cs="Times New Roman"/>
            <w:i/>
            <w:iCs/>
            <w:color w:val="0089E1"/>
            <w:szCs w:val="24"/>
            <w:u w:val="single"/>
            <w:lang w:eastAsia="es-CO"/>
          </w:rPr>
          <w:t>artículo 45</w:t>
        </w:r>
      </w:hyperlink>
      <w:r w:rsidRPr="001D092E">
        <w:rPr>
          <w:rFonts w:eastAsia="Times New Roman" w:cs="Times New Roman"/>
          <w:i/>
          <w:iCs/>
          <w:color w:val="000000"/>
          <w:szCs w:val="24"/>
          <w:lang w:eastAsia="es-CO"/>
        </w:rPr>
        <w:t> del Estatuto Tributario establece que la indemnización por seguro de daño, en la parte que corresponde al daño emergente, es un ingreso no constitutivo de renta ni ganancia ocasional.</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En virtud de lo anterior, podemos concluir que, los ingresos recibidos por concepto de indemnización por daño emergente no son susceptibles de incrementar el patrimonio neto, ya que corresponde a la reparación de un daño o la sustitución de lo perdido por lo tanto no constituye renta gravable. Al no constituir renta gravable, esta renta no podrá ser gravada con el impuesto a la renta y no estará sujeta a retención en la fuente por dicho impuesto.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b) Indemnización por lucro cesante.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Teniendo en cuenta la definición de lucro cesante expuesta anteriormente, es posible determinar que los pagos por este concepto dan lugar a un incremento patrimonial para el beneficiario de esta mismas, en tanto que estos tienen la finalidad de cubrir una renta que se ha dejado de percibir o se dejará de percibir por el daño o perjuicio causado. Al ser un ingreso susceptible de incrementar el patrimonio neto del contribuyente, este será considerado como ingreso gravable en los términos del </w:t>
      </w:r>
      <w:hyperlink r:id="rId23" w:tooltip="Estatuto Tributario CETA" w:history="1">
        <w:r w:rsidRPr="001D092E">
          <w:rPr>
            <w:rFonts w:eastAsia="Times New Roman" w:cs="Times New Roman"/>
            <w:i/>
            <w:iCs/>
            <w:color w:val="0089E1"/>
            <w:szCs w:val="24"/>
            <w:u w:val="single"/>
            <w:lang w:eastAsia="es-CO"/>
          </w:rPr>
          <w:t>artículo 26</w:t>
        </w:r>
      </w:hyperlink>
      <w:r w:rsidRPr="001D092E">
        <w:rPr>
          <w:rFonts w:eastAsia="Times New Roman" w:cs="Times New Roman"/>
          <w:i/>
          <w:iCs/>
          <w:color w:val="000000"/>
          <w:szCs w:val="24"/>
          <w:lang w:eastAsia="es-CO"/>
        </w:rPr>
        <w:t> y estará sujeto a retención en la fuente por Impuesto sobre la Renta y Complementarios. La tarifa de retención aplicable dependerá de la naturaleza del pago y de las calidades de quien reciba dicha indemnización.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c) Consideraciones aplicables a la retención en la fuente a las indemnizaciones: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En primer lugar, el </w:t>
      </w:r>
      <w:hyperlink r:id="rId24" w:tooltip="Estatuto Tributario CETA" w:history="1">
        <w:r w:rsidRPr="001D092E">
          <w:rPr>
            <w:rFonts w:eastAsia="Times New Roman" w:cs="Times New Roman"/>
            <w:i/>
            <w:iCs/>
            <w:color w:val="0089E1"/>
            <w:szCs w:val="24"/>
            <w:u w:val="single"/>
            <w:lang w:eastAsia="es-CO"/>
          </w:rPr>
          <w:t>artículo 401-2</w:t>
        </w:r>
      </w:hyperlink>
      <w:r w:rsidRPr="001D092E">
        <w:rPr>
          <w:rFonts w:eastAsia="Times New Roman" w:cs="Times New Roman"/>
          <w:i/>
          <w:iCs/>
          <w:color w:val="000000"/>
          <w:szCs w:val="24"/>
          <w:lang w:eastAsia="es-CO"/>
        </w:rPr>
        <w:t> del Estatuto Tributario establece la retención en la fuente en indemnizaciones de manera general. La norma dispone que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“Los pagos o abonos en cuenta por concepto de indemnizaciones diferentes a las indemnizaciones salariales y a las percibidas por los nacionales como resultado de demandas contra el Estado y contempladas en los artículos </w:t>
      </w:r>
      <w:hyperlink r:id="rId25" w:tooltip="Estatuto Tributario CETA" w:history="1">
        <w:r w:rsidRPr="001D092E">
          <w:rPr>
            <w:rFonts w:eastAsia="Times New Roman" w:cs="Times New Roman"/>
            <w:i/>
            <w:iCs/>
            <w:color w:val="0089E1"/>
            <w:szCs w:val="24"/>
            <w:u w:val="single"/>
            <w:lang w:eastAsia="es-CO"/>
          </w:rPr>
          <w:t>45</w:t>
        </w:r>
      </w:hyperlink>
      <w:r w:rsidRPr="001D092E">
        <w:rPr>
          <w:rFonts w:eastAsia="Times New Roman" w:cs="Times New Roman"/>
          <w:i/>
          <w:iCs/>
          <w:color w:val="000000"/>
          <w:szCs w:val="24"/>
          <w:lang w:eastAsia="es-CO"/>
        </w:rPr>
        <w:t> y </w:t>
      </w:r>
      <w:hyperlink r:id="rId26" w:tooltip="Estatuto Tributario CETA" w:history="1">
        <w:r w:rsidRPr="001D092E">
          <w:rPr>
            <w:rFonts w:eastAsia="Times New Roman" w:cs="Times New Roman"/>
            <w:i/>
            <w:iCs/>
            <w:color w:val="0089E1"/>
            <w:szCs w:val="24"/>
            <w:u w:val="single"/>
            <w:lang w:eastAsia="es-CO"/>
          </w:rPr>
          <w:t>223</w:t>
        </w:r>
      </w:hyperlink>
      <w:r w:rsidRPr="001D092E">
        <w:rPr>
          <w:rFonts w:eastAsia="Times New Roman" w:cs="Times New Roman"/>
          <w:i/>
          <w:iCs/>
          <w:color w:val="000000"/>
          <w:szCs w:val="24"/>
          <w:lang w:eastAsia="es-CO"/>
        </w:rPr>
        <w:t> del Estatuto Tributario, estará sometida a retención por concepto de renta a la tarifa del 33%, si los beneficiarios de la misma son extranjeros sin residencia en el país. Si los beneficiarios del pago son residentes en el país, la tarifa de retención por este concepto será del veinte por ciento (20%).”</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Esta disposición pretende determinar la retención en la fuente en indemnizaciones diferentes a las salariales que perciban los nacionales, como resultado de demandas contra el Estado y las establecidas en los artículos </w:t>
      </w:r>
      <w:hyperlink r:id="rId27" w:tooltip="Estatuto Tributario CETA" w:history="1">
        <w:r w:rsidRPr="001D092E">
          <w:rPr>
            <w:rFonts w:eastAsia="Times New Roman" w:cs="Times New Roman"/>
            <w:i/>
            <w:iCs/>
            <w:color w:val="0089E1"/>
            <w:szCs w:val="24"/>
            <w:u w:val="single"/>
            <w:lang w:eastAsia="es-CO"/>
          </w:rPr>
          <w:t>45</w:t>
        </w:r>
      </w:hyperlink>
      <w:r w:rsidRPr="001D092E">
        <w:rPr>
          <w:rFonts w:eastAsia="Times New Roman" w:cs="Times New Roman"/>
          <w:i/>
          <w:iCs/>
          <w:color w:val="000000"/>
          <w:szCs w:val="24"/>
          <w:lang w:eastAsia="es-CO"/>
        </w:rPr>
        <w:t> y </w:t>
      </w:r>
      <w:hyperlink r:id="rId28" w:tooltip="Estatuto Tributario CETA" w:history="1">
        <w:r w:rsidRPr="001D092E">
          <w:rPr>
            <w:rFonts w:eastAsia="Times New Roman" w:cs="Times New Roman"/>
            <w:i/>
            <w:iCs/>
            <w:color w:val="0089E1"/>
            <w:szCs w:val="24"/>
            <w:u w:val="single"/>
            <w:lang w:eastAsia="es-CO"/>
          </w:rPr>
          <w:t>223</w:t>
        </w:r>
      </w:hyperlink>
      <w:r w:rsidRPr="001D092E">
        <w:rPr>
          <w:rFonts w:eastAsia="Times New Roman" w:cs="Times New Roman"/>
          <w:i/>
          <w:iCs/>
          <w:color w:val="000000"/>
          <w:szCs w:val="24"/>
          <w:lang w:eastAsia="es-CO"/>
        </w:rPr>
        <w:t> del Estatuto Tributario. En consecuencia, la retención en la fuente en indemnizaciones solamente puede aplicarse a pagos o abonos en cuenta que correspondan al lucro cesante y su tarifa dependerá de la naturaleza de dichos pagos o abonos en cuenta y de las calidades de quien recibe el pago.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Lo anterior es confirmado por la Sentencia C-913 de 2003 la cual precisa una distinción entre el lucro cesante y el daño emergente, señalando lo siguiente: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“Es lógico que el lucro cesante esté sometido a retención en la fuente, porque corresponde a un ingreso constitutivo de la ganancia o provecho que debió recibirse en su oportunidad y, por tanto, sujeto al impuesto sobre la renta. (…) En cambio, el daño emergente, por no constituir una ganancia o provecho, nunca ha estado gravado, pues según se señaló, no es susceptible de producir un incremento en el patrimonio ya que corresponde a la reparación de un daño o a la sustitución de lo perdido.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La norma acusada somete a retención en la fuente los pagos o abonos en cuenta por indemnizaciones, sin importar si estas provienen del Estado o de particulares, para lo cual fija una tarifa diferencial que será del 20% si los beneficiarios son residentes en el país y del 35% si se trata de extranjeros no residentes.”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Con fundamento en esta presentación inicial, pasamos a resolver cada una de las preguntas formuladas: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1. ¿Se informe la normatividad, los impuestos, gravámenes, retenciones y en general que clase de tributaciones de ley se deben pagar en aquellos procesos que mediante sentencia judicial y auto que aprueba parcialmente la conciliación, es reconocida una obligación pecuniaria o una cantidad líquida de dinero más unos intereses causados, como indemnización?</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Respuesta. Las normas, a manera enunciativa son los artículos </w:t>
      </w:r>
      <w:hyperlink r:id="rId29" w:tooltip="Estatuto Tributario CETA" w:history="1">
        <w:r w:rsidRPr="001D092E">
          <w:rPr>
            <w:rFonts w:eastAsia="Times New Roman" w:cs="Times New Roman"/>
            <w:color w:val="0089E1"/>
            <w:szCs w:val="24"/>
            <w:u w:val="single"/>
            <w:lang w:eastAsia="es-CO"/>
          </w:rPr>
          <w:t>26</w:t>
        </w:r>
      </w:hyperlink>
      <w:r w:rsidRPr="001D092E">
        <w:rPr>
          <w:rFonts w:eastAsia="Times New Roman" w:cs="Times New Roman"/>
          <w:color w:val="000000"/>
          <w:szCs w:val="24"/>
          <w:lang w:eastAsia="es-CO"/>
        </w:rPr>
        <w:t>, </w:t>
      </w:r>
      <w:hyperlink r:id="rId30" w:tooltip="Estatuto Tributario CETA" w:history="1">
        <w:r w:rsidRPr="001D092E">
          <w:rPr>
            <w:rFonts w:eastAsia="Times New Roman" w:cs="Times New Roman"/>
            <w:color w:val="0089E1"/>
            <w:szCs w:val="24"/>
            <w:u w:val="single"/>
            <w:lang w:eastAsia="es-CO"/>
          </w:rPr>
          <w:t>596</w:t>
        </w:r>
      </w:hyperlink>
      <w:r w:rsidRPr="001D092E">
        <w:rPr>
          <w:rFonts w:eastAsia="Times New Roman" w:cs="Times New Roman"/>
          <w:color w:val="000000"/>
          <w:szCs w:val="24"/>
          <w:lang w:eastAsia="es-CO"/>
        </w:rPr>
        <w:t>, </w:t>
      </w:r>
      <w:hyperlink r:id="rId31" w:tooltip="Estatuto Tributario CETA" w:history="1">
        <w:r w:rsidRPr="001D092E">
          <w:rPr>
            <w:rFonts w:eastAsia="Times New Roman" w:cs="Times New Roman"/>
            <w:color w:val="0089E1"/>
            <w:szCs w:val="24"/>
            <w:u w:val="single"/>
            <w:lang w:eastAsia="es-CO"/>
          </w:rPr>
          <w:t>800</w:t>
        </w:r>
      </w:hyperlink>
      <w:r w:rsidRPr="001D092E">
        <w:rPr>
          <w:rFonts w:eastAsia="Times New Roman" w:cs="Times New Roman"/>
          <w:color w:val="000000"/>
          <w:szCs w:val="24"/>
          <w:lang w:eastAsia="es-CO"/>
        </w:rPr>
        <w:t> del estatuto Tributario. La retención en la fuente está regulada en los artículos </w:t>
      </w:r>
      <w:hyperlink r:id="rId32" w:tooltip="Estatuto Tributario CETA" w:history="1">
        <w:r w:rsidRPr="001D092E">
          <w:rPr>
            <w:rFonts w:eastAsia="Times New Roman" w:cs="Times New Roman"/>
            <w:color w:val="0089E1"/>
            <w:szCs w:val="24"/>
            <w:u w:val="single"/>
            <w:lang w:eastAsia="es-CO"/>
          </w:rPr>
          <w:t>365</w:t>
        </w:r>
      </w:hyperlink>
      <w:r w:rsidRPr="001D092E">
        <w:rPr>
          <w:rFonts w:eastAsia="Times New Roman" w:cs="Times New Roman"/>
          <w:color w:val="000000"/>
          <w:szCs w:val="24"/>
          <w:lang w:eastAsia="es-CO"/>
        </w:rPr>
        <w:t> y siguientes del Estatuto Tributario, según se ha explicado en la parte inicial de esta respuesta. El impuesto que corresponde a la naturaleza de las sentencias de reparación directa es el Impuesto de Renta.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Por consiguiente, quien percibe el ingreso susceptible de producir un incremento neto en su patrimonio tiene la obligación legal y tributaria de declararlo en la forma y condiciones establecidas por el Gobierno Nacional. Los pagos, y los pagos por dichas sentencias están sujetos al mecanismo de retención en la fuente, el cual constituye una forma de recaudo anticipado por el impuesto correspondiente por el ingreso gravado.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Sobre los ingresos provenientes de sentencias judiciales, en la parte superior de esta respuesta se han transcrito los conceptos tributarios que ilustran el tema.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2. ¿En qué momento período de tiempo se deben pagar a la DIAN, o por otras entidades, impuestos, gravámenes, retenciones, teniendo en cuanta (sic) que no se ha realizado el pago?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El </w:t>
      </w:r>
      <w:hyperlink r:id="rId33" w:tooltip="Estatuto Tributario CETA" w:history="1">
        <w:r w:rsidRPr="001D092E">
          <w:rPr>
            <w:rFonts w:eastAsia="Times New Roman" w:cs="Times New Roman"/>
            <w:color w:val="0089E1"/>
            <w:szCs w:val="24"/>
            <w:u w:val="single"/>
            <w:lang w:eastAsia="es-CO"/>
          </w:rPr>
          <w:t>artículo 26</w:t>
        </w:r>
      </w:hyperlink>
      <w:r w:rsidRPr="001D092E">
        <w:rPr>
          <w:rFonts w:eastAsia="Times New Roman" w:cs="Times New Roman"/>
          <w:color w:val="000000"/>
          <w:szCs w:val="24"/>
          <w:lang w:eastAsia="es-CO"/>
        </w:rPr>
        <w:t> del Estatuto Tributario establece que, el impuesto de renta se causa </w:t>
      </w:r>
      <w:r w:rsidRPr="001D092E">
        <w:rPr>
          <w:rFonts w:eastAsia="Times New Roman" w:cs="Times New Roman"/>
          <w:i/>
          <w:iCs/>
          <w:color w:val="000000"/>
          <w:szCs w:val="24"/>
          <w:lang w:eastAsia="es-CO"/>
        </w:rPr>
        <w:t>“de la suma de todos los ingresos ordinarios y extraordinarios realizados en el año o período gravable, que sean susceptibles de producir un incremento neto del patrimonio en </w:t>
      </w:r>
      <w:r w:rsidRPr="001D092E">
        <w:rPr>
          <w:rFonts w:eastAsia="Times New Roman" w:cs="Times New Roman"/>
          <w:i/>
          <w:iCs/>
          <w:color w:val="000000"/>
          <w:szCs w:val="24"/>
          <w:u w:val="single"/>
          <w:lang w:eastAsia="es-CO"/>
        </w:rPr>
        <w:t>el momento de su percepción</w:t>
      </w:r>
      <w:r w:rsidRPr="001D092E">
        <w:rPr>
          <w:rFonts w:eastAsia="Times New Roman" w:cs="Times New Roman"/>
          <w:i/>
          <w:iCs/>
          <w:color w:val="000000"/>
          <w:szCs w:val="24"/>
          <w:lang w:eastAsia="es-CO"/>
        </w:rPr>
        <w:t>”.</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Además, como el impuesto de renta es un impuesto de período deberá declararse y pagar, conforme al calendario anual que fija el Gobierno Nacional, según lo dispone el </w:t>
      </w:r>
      <w:hyperlink r:id="rId34" w:tooltip="Estatuto Tributario CETA" w:history="1">
        <w:r w:rsidRPr="001D092E">
          <w:rPr>
            <w:rFonts w:eastAsia="Times New Roman" w:cs="Times New Roman"/>
            <w:color w:val="0089E1"/>
            <w:szCs w:val="24"/>
            <w:u w:val="single"/>
            <w:lang w:eastAsia="es-CO"/>
          </w:rPr>
          <w:t>artículo 596</w:t>
        </w:r>
      </w:hyperlink>
      <w:r w:rsidRPr="001D092E">
        <w:rPr>
          <w:rFonts w:eastAsia="Times New Roman" w:cs="Times New Roman"/>
          <w:color w:val="000000"/>
          <w:szCs w:val="24"/>
          <w:lang w:eastAsia="es-CO"/>
        </w:rPr>
        <w:t> del estatuto Tributario.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Con respecto a otros impuestos, que no son competencia de la DIAN, no es posible para este Despacho pronunciarse, en el entendido que no tenemos las facultades necesarias para hacerlo.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3. ¿De qué forma deben pagar, esta clase de impuestos y señalar la normatividad?</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Como el impuesto de renta es un impuesto de período deberá declararse y pagar, conforme al calendario anual que fija el Gobierno Nacional, según lo dispone el </w:t>
      </w:r>
      <w:hyperlink r:id="rId35" w:tooltip="Estatuto Tributario CETA" w:history="1">
        <w:r w:rsidRPr="001D092E">
          <w:rPr>
            <w:rFonts w:eastAsia="Times New Roman" w:cs="Times New Roman"/>
            <w:color w:val="0089E1"/>
            <w:szCs w:val="24"/>
            <w:u w:val="single"/>
            <w:lang w:eastAsia="es-CO"/>
          </w:rPr>
          <w:t>artículo 596</w:t>
        </w:r>
      </w:hyperlink>
      <w:r w:rsidRPr="001D092E">
        <w:rPr>
          <w:rFonts w:eastAsia="Times New Roman" w:cs="Times New Roman"/>
          <w:color w:val="000000"/>
          <w:szCs w:val="24"/>
          <w:lang w:eastAsia="es-CO"/>
        </w:rPr>
        <w:t> del estatuto Tributario.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Para su pago, podrá descontarse la retención en la fuente que se le haya realizado en el momento de la percepción por parte del pagador, conforme al </w:t>
      </w:r>
      <w:hyperlink r:id="rId36" w:tooltip="Estatuto Tributario CETA" w:history="1">
        <w:r w:rsidRPr="001D092E">
          <w:rPr>
            <w:rFonts w:eastAsia="Times New Roman" w:cs="Times New Roman"/>
            <w:color w:val="0089E1"/>
            <w:szCs w:val="24"/>
            <w:u w:val="single"/>
            <w:lang w:eastAsia="es-CO"/>
          </w:rPr>
          <w:t>artículo 365</w:t>
        </w:r>
      </w:hyperlink>
      <w:r w:rsidRPr="001D092E">
        <w:rPr>
          <w:rFonts w:eastAsia="Times New Roman" w:cs="Times New Roman"/>
          <w:color w:val="000000"/>
          <w:szCs w:val="24"/>
          <w:lang w:eastAsia="es-CO"/>
        </w:rPr>
        <w:t> del estatuto tributario.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lastRenderedPageBreak/>
        <w:t>Además, el </w:t>
      </w:r>
      <w:hyperlink r:id="rId37" w:tooltip="Estatuto Tributario CETA" w:history="1">
        <w:r w:rsidRPr="001D092E">
          <w:rPr>
            <w:rFonts w:eastAsia="Times New Roman" w:cs="Times New Roman"/>
            <w:color w:val="0089E1"/>
            <w:szCs w:val="24"/>
            <w:u w:val="single"/>
            <w:lang w:eastAsia="es-CO"/>
          </w:rPr>
          <w:t>artículo 381</w:t>
        </w:r>
      </w:hyperlink>
      <w:r w:rsidRPr="001D092E">
        <w:rPr>
          <w:rFonts w:eastAsia="Times New Roman" w:cs="Times New Roman"/>
          <w:color w:val="000000"/>
          <w:szCs w:val="24"/>
          <w:lang w:eastAsia="es-CO"/>
        </w:rPr>
        <w:t> del Estatuto Tributar (Sic) contempla el certificado de retención en la fuente que debe expedir el agente retenedor a quien se le efectuó la retención.</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4. ¿Se explique quien es la persona que debe declarar el impuesto a las retenciones?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Debe presentar la declaración privada del Impuestos sobre la Renta, la persona en quien se dan las condiciones para que surja respecto de esta el hecho imponible, esto es percibir los ingresos según el </w:t>
      </w:r>
      <w:hyperlink r:id="rId38" w:tooltip="Estatuto Tributario CETA" w:history="1">
        <w:r w:rsidRPr="001D092E">
          <w:rPr>
            <w:rFonts w:eastAsia="Times New Roman" w:cs="Times New Roman"/>
            <w:color w:val="0089E1"/>
            <w:szCs w:val="24"/>
            <w:u w:val="single"/>
            <w:lang w:eastAsia="es-CO"/>
          </w:rPr>
          <w:t>artículo 26</w:t>
        </w:r>
      </w:hyperlink>
      <w:r w:rsidRPr="001D092E">
        <w:rPr>
          <w:rFonts w:eastAsia="Times New Roman" w:cs="Times New Roman"/>
          <w:color w:val="000000"/>
          <w:szCs w:val="24"/>
          <w:lang w:eastAsia="es-CO"/>
        </w:rPr>
        <w:t> del Estatuó (Sic) Tributario. Las retenciones efectuadas las debe declarar y pagar el agente retenedor, quien expedirá el certificado anual, según las condiciones tratadas en el </w:t>
      </w:r>
      <w:hyperlink r:id="rId39" w:tooltip="Estatuto Tributario CETA" w:history="1">
        <w:r w:rsidRPr="001D092E">
          <w:rPr>
            <w:rFonts w:eastAsia="Times New Roman" w:cs="Times New Roman"/>
            <w:color w:val="0089E1"/>
            <w:szCs w:val="24"/>
            <w:u w:val="single"/>
            <w:lang w:eastAsia="es-CO"/>
          </w:rPr>
          <w:t>artículo 381</w:t>
        </w:r>
      </w:hyperlink>
      <w:r w:rsidRPr="001D092E">
        <w:rPr>
          <w:rFonts w:eastAsia="Times New Roman" w:cs="Times New Roman"/>
          <w:color w:val="000000"/>
          <w:szCs w:val="24"/>
          <w:lang w:eastAsia="es-CO"/>
        </w:rPr>
        <w:t> del Estatuto Tributario. Estas retenciones podrán ser acreditadas por parte del declarante de renta, al cual se le practicaron las retenciones con el objetivo de disminuir el impuesto a cargo.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5. ¿Qué clase de gravámenes y porcentaje se deben pagar sobre </w:t>
      </w:r>
      <w:r w:rsidRPr="001D092E">
        <w:rPr>
          <w:rFonts w:eastAsia="Times New Roman" w:cs="Times New Roman"/>
          <w:b/>
          <w:bCs/>
          <w:i/>
          <w:iCs/>
          <w:color w:val="000000"/>
          <w:szCs w:val="24"/>
          <w:lang w:eastAsia="es-CO"/>
        </w:rPr>
        <w:t>perjuicios morales, </w:t>
      </w:r>
      <w:r w:rsidRPr="001D092E">
        <w:rPr>
          <w:rFonts w:eastAsia="Times New Roman" w:cs="Times New Roman"/>
          <w:i/>
          <w:iCs/>
          <w:color w:val="000000"/>
          <w:szCs w:val="24"/>
          <w:lang w:eastAsia="es-CO"/>
        </w:rPr>
        <w:t>reconocidos como indemnización a través del proceso de reparación directa?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highlight w:val="green"/>
          <w:lang w:eastAsia="es-CO"/>
        </w:rPr>
      </w:pPr>
      <w:r w:rsidRPr="001D092E">
        <w:rPr>
          <w:rFonts w:eastAsia="Times New Roman" w:cs="Times New Roman"/>
          <w:color w:val="000000"/>
          <w:szCs w:val="24"/>
          <w:highlight w:val="green"/>
          <w:lang w:eastAsia="es-CO"/>
        </w:rPr>
        <w:t>En el Oficio 052670 de agosto 17 de 2012 agosto 17, (sic) se trajo a colación lo siguiente:</w:t>
      </w:r>
    </w:p>
    <w:p w:rsidR="001D092E" w:rsidRPr="001D092E" w:rsidRDefault="001D092E" w:rsidP="001D092E">
      <w:pPr>
        <w:spacing w:after="0" w:line="240" w:lineRule="auto"/>
        <w:ind w:left="180"/>
        <w:jc w:val="both"/>
        <w:rPr>
          <w:rFonts w:eastAsia="Times New Roman" w:cs="Times New Roman"/>
          <w:color w:val="000000"/>
          <w:szCs w:val="24"/>
          <w:highlight w:val="green"/>
          <w:lang w:eastAsia="es-CO"/>
        </w:rPr>
      </w:pPr>
      <w:r w:rsidRPr="001D092E">
        <w:rPr>
          <w:rFonts w:eastAsia="Times New Roman" w:cs="Times New Roman"/>
          <w:i/>
          <w:iCs/>
          <w:color w:val="000000"/>
          <w:szCs w:val="24"/>
          <w:highlight w:val="green"/>
          <w:lang w:eastAsia="es-CO"/>
        </w:rPr>
        <w:t> </w:t>
      </w:r>
    </w:p>
    <w:p w:rsidR="001D092E" w:rsidRPr="001D092E" w:rsidRDefault="001D092E" w:rsidP="001D092E">
      <w:pPr>
        <w:spacing w:after="0" w:line="240" w:lineRule="auto"/>
        <w:ind w:left="180"/>
        <w:jc w:val="both"/>
        <w:rPr>
          <w:rFonts w:eastAsia="Times New Roman" w:cs="Times New Roman"/>
          <w:color w:val="000000"/>
          <w:szCs w:val="24"/>
          <w:highlight w:val="green"/>
          <w:lang w:eastAsia="es-CO"/>
        </w:rPr>
      </w:pPr>
      <w:r w:rsidRPr="001D092E">
        <w:rPr>
          <w:rFonts w:eastAsia="Times New Roman" w:cs="Times New Roman"/>
          <w:i/>
          <w:iCs/>
          <w:color w:val="000000"/>
          <w:szCs w:val="24"/>
          <w:highlight w:val="green"/>
          <w:lang w:eastAsia="es-CO"/>
        </w:rPr>
        <w:t>“En el mismo sentido, el Oficio 012420 de febrero 10 de 2006, manifestó:</w:t>
      </w:r>
    </w:p>
    <w:p w:rsidR="001D092E" w:rsidRPr="001D092E" w:rsidRDefault="001D092E" w:rsidP="001D092E">
      <w:pPr>
        <w:spacing w:after="0" w:line="240" w:lineRule="auto"/>
        <w:ind w:left="180"/>
        <w:jc w:val="both"/>
        <w:rPr>
          <w:rFonts w:eastAsia="Times New Roman" w:cs="Times New Roman"/>
          <w:color w:val="000000"/>
          <w:szCs w:val="24"/>
          <w:highlight w:val="green"/>
          <w:lang w:eastAsia="es-CO"/>
        </w:rPr>
      </w:pPr>
      <w:r w:rsidRPr="001D092E">
        <w:rPr>
          <w:rFonts w:eastAsia="Times New Roman" w:cs="Times New Roman"/>
          <w:i/>
          <w:iCs/>
          <w:color w:val="000000"/>
          <w:szCs w:val="24"/>
          <w:highlight w:val="green"/>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highlight w:val="green"/>
          <w:lang w:eastAsia="es-CO"/>
        </w:rPr>
        <w:t>“… Retención en la fuente en el pago de sentencias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Finalmente, con respecto a la retención en la fuente aplicable al pago de una sentencia por responsabilidad extracontractual del Estado por reconocimiento de </w:t>
      </w:r>
      <w:r w:rsidRPr="001D092E">
        <w:rPr>
          <w:rFonts w:eastAsia="Times New Roman" w:cs="Times New Roman"/>
          <w:b/>
          <w:bCs/>
          <w:i/>
          <w:iCs/>
          <w:color w:val="000000"/>
          <w:szCs w:val="24"/>
          <w:lang w:eastAsia="es-CO"/>
        </w:rPr>
        <w:t>perjuicios morales, </w:t>
      </w:r>
      <w:r w:rsidRPr="001D092E">
        <w:rPr>
          <w:rFonts w:eastAsia="Times New Roman" w:cs="Times New Roman"/>
          <w:i/>
          <w:iCs/>
          <w:color w:val="000000"/>
          <w:szCs w:val="24"/>
          <w:lang w:eastAsia="es-CO"/>
        </w:rPr>
        <w:t>en el Oficio Nro. 003481 se manifestó:</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“En el Concepto No. 49245 de 1994 este Despacho precisó sobre el tema de las indemnizaciones: “Se comprende además lo relativo al cálculo de la vida probable de una persona y los perjuicios morales, estos admitidos jurisprudencialmente. En estos últimos perjuicios existe una equitativa satisfacción por el daño sufrido, que por ser moral es inconmensurable, pues el dolor moral no tiene precio. En el caso de la muerte de un hijo ese dolor no necesita prueba especial, sino se presume.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highlight w:val="green"/>
          <w:lang w:eastAsia="es-CO"/>
        </w:rPr>
        <w:t>Más adelante señala: “Basta tener en cuenta la naturaleza de la reparación, los perjuicios que cubre, para asimilarlos a ingresos constitutivos de daño emergente. Así por ejemplo la reparación de perjuicios morales y los materiales relativos a la crianza, educación, manutención etc. será por su naturaleza </w:t>
      </w:r>
      <w:r w:rsidRPr="001D092E">
        <w:rPr>
          <w:rFonts w:eastAsia="Times New Roman" w:cs="Times New Roman"/>
          <w:i/>
          <w:iCs/>
          <w:color w:val="000000"/>
          <w:szCs w:val="24"/>
          <w:highlight w:val="green"/>
          <w:u w:val="single"/>
          <w:lang w:eastAsia="es-CO"/>
        </w:rPr>
        <w:t>asimilable a indemnización por daño emergente, no sujeto a gravamen</w:t>
      </w:r>
      <w:r w:rsidRPr="001D092E">
        <w:rPr>
          <w:rFonts w:eastAsia="Times New Roman" w:cs="Times New Roman"/>
          <w:i/>
          <w:iCs/>
          <w:color w:val="000000"/>
          <w:szCs w:val="24"/>
          <w:highlight w:val="green"/>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highlight w:val="green"/>
          <w:lang w:eastAsia="es-CO"/>
        </w:rPr>
      </w:pPr>
      <w:r w:rsidRPr="001D092E">
        <w:rPr>
          <w:rFonts w:eastAsia="Times New Roman" w:cs="Times New Roman"/>
          <w:color w:val="000000"/>
          <w:szCs w:val="24"/>
          <w:highlight w:val="green"/>
          <w:lang w:eastAsia="es-CO"/>
        </w:rPr>
        <w:t>De igual forma en el Oficio 09707 de marzo 31 de 2017, se explicó lo siguiente:</w:t>
      </w:r>
    </w:p>
    <w:p w:rsidR="001D092E" w:rsidRPr="001D092E" w:rsidRDefault="001D092E" w:rsidP="001D092E">
      <w:pPr>
        <w:spacing w:after="0" w:line="240" w:lineRule="auto"/>
        <w:ind w:left="180"/>
        <w:jc w:val="both"/>
        <w:rPr>
          <w:rFonts w:eastAsia="Times New Roman" w:cs="Times New Roman"/>
          <w:color w:val="000000"/>
          <w:szCs w:val="24"/>
          <w:highlight w:val="green"/>
          <w:lang w:eastAsia="es-CO"/>
        </w:rPr>
      </w:pPr>
      <w:r w:rsidRPr="001D092E">
        <w:rPr>
          <w:rFonts w:eastAsia="Times New Roman" w:cs="Times New Roman"/>
          <w:i/>
          <w:iCs/>
          <w:color w:val="000000"/>
          <w:szCs w:val="24"/>
          <w:highlight w:val="green"/>
          <w:lang w:eastAsia="es-CO"/>
        </w:rPr>
        <w:t> </w:t>
      </w:r>
    </w:p>
    <w:p w:rsidR="001D092E" w:rsidRPr="001D092E" w:rsidRDefault="001D092E" w:rsidP="001D092E">
      <w:pPr>
        <w:spacing w:after="0" w:line="240" w:lineRule="auto"/>
        <w:ind w:left="180"/>
        <w:jc w:val="both"/>
        <w:rPr>
          <w:rFonts w:eastAsia="Times New Roman" w:cs="Times New Roman"/>
          <w:b/>
          <w:color w:val="000000"/>
          <w:sz w:val="32"/>
          <w:szCs w:val="32"/>
          <w:lang w:eastAsia="es-CO"/>
        </w:rPr>
      </w:pPr>
      <w:r w:rsidRPr="001D092E">
        <w:rPr>
          <w:rFonts w:eastAsia="Times New Roman" w:cs="Times New Roman"/>
          <w:i/>
          <w:iCs/>
          <w:color w:val="000000"/>
          <w:szCs w:val="24"/>
          <w:highlight w:val="green"/>
          <w:lang w:eastAsia="es-CO"/>
        </w:rPr>
        <w:t xml:space="preserve">“En atención a su consulta, relacionada con el pago de sentencias por el concepto de perjuicios morales ocasionados a personas por la falla en el servicio, este despacho ha precisado que dichos pagos no se encuentran sujetos a retención en la fuente, mediante el Concepto Nro. 099941 de diciembre 28 de 1998. y los Oficios 049245 de agosto 11 de 1994, 003481 de agosto 13 de 1999 y 052250 de agosto 21 de 2013, </w:t>
      </w:r>
      <w:r w:rsidRPr="001D092E">
        <w:rPr>
          <w:rFonts w:eastAsia="Times New Roman" w:cs="Times New Roman"/>
          <w:b/>
          <w:i/>
          <w:iCs/>
          <w:color w:val="000000"/>
          <w:sz w:val="32"/>
          <w:szCs w:val="32"/>
          <w:highlight w:val="green"/>
          <w:lang w:eastAsia="es-CO"/>
        </w:rPr>
        <w:t>de los cuales por corresponder a doctrina vigente remitimos copia para su conocimiento y aplicación al caso en concreto.</w:t>
      </w:r>
    </w:p>
    <w:p w:rsidR="001D092E" w:rsidRPr="001D092E" w:rsidRDefault="001D092E" w:rsidP="001D092E">
      <w:pPr>
        <w:spacing w:after="0" w:line="240" w:lineRule="auto"/>
        <w:ind w:left="180"/>
        <w:jc w:val="both"/>
        <w:rPr>
          <w:rFonts w:eastAsia="Times New Roman" w:cs="Times New Roman"/>
          <w:b/>
          <w:color w:val="000000"/>
          <w:sz w:val="32"/>
          <w:szCs w:val="32"/>
          <w:lang w:eastAsia="es-CO"/>
        </w:rPr>
      </w:pPr>
      <w:r w:rsidRPr="001D092E">
        <w:rPr>
          <w:rFonts w:eastAsia="Times New Roman" w:cs="Times New Roman"/>
          <w:b/>
          <w:i/>
          <w:iCs/>
          <w:color w:val="000000"/>
          <w:sz w:val="32"/>
          <w:szCs w:val="32"/>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Respecto a las costas del proceso, el Concepto 057424 de julio 21 de 1998, precisa que con las agencias en derecho y demás costas procesales que se reconocen por parte del juez a favor del vencedor en un proceso, lo que existe es un resarcimiento de la disminución patrimonial por el ejercicio de la acción procesal, no constituyendo un ingreso susceptible de producir un incremento del patrimonio en el momento de su percepción.</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bookmarkStart w:id="0" w:name="_GoBack"/>
      <w:bookmarkEnd w:id="0"/>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En consecuencia, no genera el impuesto sobre la renta y complementario, ni tampoco hay lugar a la retención en la fuente.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xml:space="preserve">Finalmente, hay que diferenciar las costas del proceso y agencias en derecho, de la retribución que por orden judicial deben pagar las personas jurídicas o sociedades de hecho a los peritos, evaluadores, curadores, </w:t>
      </w:r>
      <w:proofErr w:type="spellStart"/>
      <w:r w:rsidRPr="001D092E">
        <w:rPr>
          <w:rFonts w:eastAsia="Times New Roman" w:cs="Times New Roman"/>
          <w:i/>
          <w:iCs/>
          <w:color w:val="000000"/>
          <w:szCs w:val="24"/>
          <w:lang w:eastAsia="es-CO"/>
        </w:rPr>
        <w:t>etc</w:t>
      </w:r>
      <w:proofErr w:type="spellEnd"/>
      <w:r w:rsidRPr="001D092E">
        <w:rPr>
          <w:rFonts w:eastAsia="Times New Roman" w:cs="Times New Roman"/>
          <w:i/>
          <w:iCs/>
          <w:color w:val="000000"/>
          <w:szCs w:val="24"/>
          <w:lang w:eastAsia="es-CO"/>
        </w:rPr>
        <w:t>, pagos que están sujetos a retención en la fuente por concepto de honorarios a la tarifa del 10% (Decreto 408 de 1995, artículo 6º y demás normas modificatorias), caso en el cual quienes realizan el pago a estos deberán actuar como agentes retenedores.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6. ¿Qué clase de gravámenes y qué porcentaje se debe pagar por concepto de </w:t>
      </w:r>
      <w:r w:rsidRPr="001D092E">
        <w:rPr>
          <w:rFonts w:eastAsia="Times New Roman" w:cs="Times New Roman"/>
          <w:b/>
          <w:bCs/>
          <w:i/>
          <w:iCs/>
          <w:color w:val="000000"/>
          <w:szCs w:val="24"/>
          <w:lang w:eastAsia="es-CO"/>
        </w:rPr>
        <w:t>lucro cesante </w:t>
      </w:r>
      <w:r w:rsidRPr="001D092E">
        <w:rPr>
          <w:rFonts w:eastAsia="Times New Roman" w:cs="Times New Roman"/>
          <w:i/>
          <w:iCs/>
          <w:color w:val="000000"/>
          <w:szCs w:val="24"/>
          <w:lang w:eastAsia="es-CO"/>
        </w:rPr>
        <w:t>reconocido como indemnización a través de un proceso de reparación directa?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7. ¿Qué clase de gravámenes y que porcentaje se debe pagar por concepto de </w:t>
      </w:r>
      <w:r w:rsidRPr="001D092E">
        <w:rPr>
          <w:rFonts w:eastAsia="Times New Roman" w:cs="Times New Roman"/>
          <w:b/>
          <w:bCs/>
          <w:i/>
          <w:iCs/>
          <w:color w:val="000000"/>
          <w:szCs w:val="24"/>
          <w:lang w:eastAsia="es-CO"/>
        </w:rPr>
        <w:t>daño emergente </w:t>
      </w:r>
      <w:r w:rsidRPr="001D092E">
        <w:rPr>
          <w:rFonts w:eastAsia="Times New Roman" w:cs="Times New Roman"/>
          <w:i/>
          <w:iCs/>
          <w:color w:val="000000"/>
          <w:szCs w:val="24"/>
          <w:lang w:eastAsia="es-CO"/>
        </w:rPr>
        <w:t>reconocido como indemnización?</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8. ¿Qué clase de gravámenes y que porcentaje se debe pagar por concepto de </w:t>
      </w:r>
      <w:r w:rsidRPr="001D092E">
        <w:rPr>
          <w:rFonts w:eastAsia="Times New Roman" w:cs="Times New Roman"/>
          <w:b/>
          <w:bCs/>
          <w:i/>
          <w:iCs/>
          <w:color w:val="000000"/>
          <w:szCs w:val="24"/>
          <w:lang w:eastAsia="es-CO"/>
        </w:rPr>
        <w:t>alteración grave </w:t>
      </w:r>
      <w:r w:rsidRPr="001D092E">
        <w:rPr>
          <w:rFonts w:eastAsia="Times New Roman" w:cs="Times New Roman"/>
          <w:i/>
          <w:iCs/>
          <w:color w:val="000000"/>
          <w:szCs w:val="24"/>
          <w:lang w:eastAsia="es-CO"/>
        </w:rPr>
        <w:t>de las condiciones de existencia, reconocido como indemnización a través de un proceso de reparación directa?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Como en el punto anterior, además de los (sic) expresado anteriormente, se sugiere revisar los conceptos números 046276 del 8 de junio de 2009, 021652 de agosto 16 de 2018, teniendo presente que para la fecha de los pagos puede haber variado las tarifas de retención en la fuente.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En suma, de las preguntas 5, 6, 7 y 8, antes citadas, se le aclara al consultante que el Estatuto Tributario no establece norma específica para cada una de las fórmulas que se dan frente a una indemnización derivada de una sentencia judicial, debiendo los responsables adecuarlas al contenido del </w:t>
      </w:r>
      <w:hyperlink r:id="rId40" w:tooltip="Estatuto Tributario CETA" w:history="1">
        <w:r w:rsidRPr="001D092E">
          <w:rPr>
            <w:rFonts w:eastAsia="Times New Roman" w:cs="Times New Roman"/>
            <w:color w:val="0089E1"/>
            <w:szCs w:val="24"/>
            <w:u w:val="single"/>
            <w:lang w:eastAsia="es-CO"/>
          </w:rPr>
          <w:t>artículo 26</w:t>
        </w:r>
      </w:hyperlink>
      <w:r w:rsidRPr="001D092E">
        <w:rPr>
          <w:rFonts w:eastAsia="Times New Roman" w:cs="Times New Roman"/>
          <w:color w:val="000000"/>
          <w:szCs w:val="24"/>
          <w:lang w:eastAsia="es-CO"/>
        </w:rPr>
        <w:t> del estatuto tributaria, (sic) tantas veces citado.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9. ¿Los impuestos (IVA) del régimen común, generados sobre el 35% correspondientes a los honorarios de abogado, a quien corresponde pagarlos, es decir al abogado de un proceso de reparación o a todas partes de reparación dentro del proceso?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El IVA se genera, y por tanto nace la obligación de cobrarlo, cuando se vende un producto que está gravado con el IVA o se presta un servicio que está gravado. Es decir, lo paga el consumidor y lo debe cobrar quien presta el servicio.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Sobre el particular, en primer lugar, el </w:t>
      </w:r>
      <w:hyperlink r:id="rId41" w:tooltip="Estatuto Tributario CETA" w:history="1">
        <w:r w:rsidRPr="001D092E">
          <w:rPr>
            <w:rFonts w:eastAsia="Times New Roman" w:cs="Times New Roman"/>
            <w:color w:val="0089E1"/>
            <w:szCs w:val="24"/>
            <w:u w:val="single"/>
            <w:lang w:eastAsia="es-CO"/>
          </w:rPr>
          <w:t>artículo 1º</w:t>
        </w:r>
      </w:hyperlink>
      <w:r w:rsidRPr="001D092E">
        <w:rPr>
          <w:rFonts w:eastAsia="Times New Roman" w:cs="Times New Roman"/>
          <w:color w:val="000000"/>
          <w:szCs w:val="24"/>
          <w:lang w:eastAsia="es-CO"/>
        </w:rPr>
        <w:t>., del Estatuto Tributario (ET), establece: </w:t>
      </w:r>
      <w:r w:rsidRPr="001D092E">
        <w:rPr>
          <w:rFonts w:eastAsia="Times New Roman" w:cs="Times New Roman"/>
          <w:i/>
          <w:iCs/>
          <w:color w:val="000000"/>
          <w:szCs w:val="24"/>
          <w:lang w:eastAsia="es-CO"/>
        </w:rPr>
        <w:t>“la obligación tributaria sustancial se origina al realizarse el presupuesto o los presupuestos previstos en la ley como generadores del impuesto y ella tiene por objeto el pago del tributo”; </w:t>
      </w:r>
      <w:r w:rsidRPr="001D092E">
        <w:rPr>
          <w:rFonts w:eastAsia="Times New Roman" w:cs="Times New Roman"/>
          <w:color w:val="000000"/>
          <w:szCs w:val="24"/>
          <w:lang w:eastAsia="es-CO"/>
        </w:rPr>
        <w:t>por lo anterior, el tributo referido al impuesto sobre las ventas, consagra como hechos generadores en el </w:t>
      </w:r>
      <w:hyperlink r:id="rId42" w:tooltip="Estatuto Tributario CETA" w:history="1">
        <w:r w:rsidRPr="001D092E">
          <w:rPr>
            <w:rFonts w:eastAsia="Times New Roman" w:cs="Times New Roman"/>
            <w:color w:val="0089E1"/>
            <w:szCs w:val="24"/>
            <w:u w:val="single"/>
            <w:lang w:eastAsia="es-CO"/>
          </w:rPr>
          <w:t>artículo 420</w:t>
        </w:r>
      </w:hyperlink>
      <w:r w:rsidRPr="001D092E">
        <w:rPr>
          <w:rFonts w:eastAsia="Times New Roman" w:cs="Times New Roman"/>
          <w:color w:val="000000"/>
          <w:szCs w:val="24"/>
          <w:lang w:eastAsia="es-CO"/>
        </w:rPr>
        <w:t> del ET., los siguientes: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 La venta de bienes corporales muebles e inmuebles, con excepción de los expresamente excluidos.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b) La venta o cesiones de derechos sobre activos intangibles, únicamente asociados con la propiedad industrial.</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c) </w:t>
      </w:r>
      <w:r w:rsidRPr="001D092E">
        <w:rPr>
          <w:rFonts w:eastAsia="Times New Roman" w:cs="Times New Roman"/>
          <w:b/>
          <w:bCs/>
          <w:i/>
          <w:iCs/>
          <w:color w:val="000000"/>
          <w:szCs w:val="24"/>
          <w:u w:val="single"/>
          <w:lang w:eastAsia="es-CO"/>
        </w:rPr>
        <w:t>La prestación de servicios en el territorio nacional, o desde el exterior, con excepción de los expresamente excluidos.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d) La importación de bienes corporales que no hayan sido excluidos expresamente.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 La circulación, venta u operación de juegos de suerte y azar, con excepción de las loterías y de los juegos de suerte y azar, operados exclusivamente por internet …” </w:t>
      </w:r>
      <w:r w:rsidRPr="001D092E">
        <w:rPr>
          <w:rFonts w:eastAsia="Times New Roman" w:cs="Times New Roman"/>
          <w:color w:val="000000"/>
          <w:szCs w:val="24"/>
          <w:lang w:eastAsia="es-CO"/>
        </w:rPr>
        <w:t>(Negrillas fuera de texto).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Ahora, con el fin de dar mayor claridad al asunto, es necesario abordar el concepto de servicio en materia de IVA, entendiéndose este como: </w:t>
      </w:r>
      <w:r w:rsidRPr="001D092E">
        <w:rPr>
          <w:rFonts w:eastAsia="Times New Roman" w:cs="Times New Roman"/>
          <w:i/>
          <w:iCs/>
          <w:color w:val="000000"/>
          <w:szCs w:val="24"/>
          <w:lang w:eastAsia="es-CO"/>
        </w:rPr>
        <w:t>“toda actividad, labor o trabajo prestado por una persona natural o jurídica, o por una sociedad de hecho, sin relación laboral con quien contrata la ejecución, que se concreta en una obligación de hacer, sin importar que en la misma predomine el factor material o intelectual, y que genera una contraprestación en dinero o en especie, independientemente de su denominación o forma de remuneración” </w:t>
      </w:r>
      <w:r w:rsidRPr="001D092E">
        <w:rPr>
          <w:rFonts w:eastAsia="Times New Roman" w:cs="Times New Roman"/>
          <w:color w:val="000000"/>
          <w:szCs w:val="24"/>
          <w:lang w:eastAsia="es-CO"/>
        </w:rPr>
        <w:t>(Art. 1 Decreto 1372 de 1992. Compilado en el artículo 1.3.1.2.1 del Decreto Único Reglamentario 1625 de 2016).</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El </w:t>
      </w:r>
      <w:hyperlink r:id="rId43" w:tooltip="Estatuto Tributario CETA" w:history="1">
        <w:r w:rsidRPr="001D092E">
          <w:rPr>
            <w:rFonts w:eastAsia="Times New Roman" w:cs="Times New Roman"/>
            <w:color w:val="0089E1"/>
            <w:szCs w:val="24"/>
            <w:u w:val="single"/>
            <w:lang w:eastAsia="es-CO"/>
          </w:rPr>
          <w:t>artículo 437</w:t>
        </w:r>
      </w:hyperlink>
      <w:r w:rsidRPr="001D092E">
        <w:rPr>
          <w:rFonts w:eastAsia="Times New Roman" w:cs="Times New Roman"/>
          <w:color w:val="000000"/>
          <w:szCs w:val="24"/>
          <w:lang w:eastAsia="es-CO"/>
        </w:rPr>
        <w:t> del Estatuto Tributario considera que, </w:t>
      </w:r>
      <w:r w:rsidRPr="001D092E">
        <w:rPr>
          <w:rFonts w:eastAsia="Times New Roman" w:cs="Times New Roman"/>
          <w:i/>
          <w:iCs/>
          <w:color w:val="000000"/>
          <w:szCs w:val="24"/>
          <w:lang w:eastAsia="es-CO"/>
        </w:rPr>
        <w:t>“Quienes presten servicios”, </w:t>
      </w:r>
      <w:r w:rsidRPr="001D092E">
        <w:rPr>
          <w:rFonts w:eastAsia="Times New Roman" w:cs="Times New Roman"/>
          <w:color w:val="000000"/>
          <w:szCs w:val="24"/>
          <w:lang w:eastAsia="es-CO"/>
        </w:rPr>
        <w:t>son responsables el Impuesto sobre las Ventas.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Según el </w:t>
      </w:r>
      <w:hyperlink r:id="rId44" w:tooltip="Estatuto Tributario CETA" w:history="1">
        <w:r w:rsidRPr="001D092E">
          <w:rPr>
            <w:rFonts w:eastAsia="Times New Roman" w:cs="Times New Roman"/>
            <w:color w:val="0089E1"/>
            <w:szCs w:val="24"/>
            <w:u w:val="single"/>
            <w:lang w:eastAsia="es-CO"/>
          </w:rPr>
          <w:t>artículo 601</w:t>
        </w:r>
      </w:hyperlink>
      <w:r w:rsidRPr="001D092E">
        <w:rPr>
          <w:rFonts w:eastAsia="Times New Roman" w:cs="Times New Roman"/>
          <w:color w:val="000000"/>
          <w:szCs w:val="24"/>
          <w:lang w:eastAsia="es-CO"/>
        </w:rPr>
        <w:t> del Estatuto Tributario, deberán presentar declaración y pago del Impuesto sobre las Ventas, los responsables.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Según el Concepto DIAN 001 de 2003, al referirse al responsable del impuesto sobre las ventas dice: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el sujeto a quien la ley le ha otorgado la facultad de recaudar (cobrar) el impuesto del consumidor final. En virtud de lo cual debe responder frente a la administración por su consignación y cumplir con las demás obligaciones inherentes a su calidad.”</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10. ¿Se aclare si debemos pagar los siguientes impuestos manifestados por nuestro apoderado?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De manera se le informa que, la tarifa general de retención en la fuente se explicó lo siguiente: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xml:space="preserve">“[… los intereses de mora generados por el retardo en el pago de sentencias judiciales, cuyos pagos son efectuados por las personas jurídicas o naturales que actúan como agentes de retención en la fuente, están sujetos a retención en la fuente a título de impuesto a la renta y complementario, por concepto de rendimientos financieros, siéndoles aplicables la tarifa del 7%. (Art 3o </w:t>
      </w:r>
      <w:proofErr w:type="spellStart"/>
      <w:r w:rsidRPr="001D092E">
        <w:rPr>
          <w:rFonts w:eastAsia="Times New Roman" w:cs="Times New Roman"/>
          <w:i/>
          <w:iCs/>
          <w:color w:val="000000"/>
          <w:szCs w:val="24"/>
          <w:lang w:eastAsia="es-CO"/>
        </w:rPr>
        <w:t>Dcto</w:t>
      </w:r>
      <w:proofErr w:type="spellEnd"/>
      <w:r w:rsidRPr="001D092E">
        <w:rPr>
          <w:rFonts w:eastAsia="Times New Roman" w:cs="Times New Roman"/>
          <w:i/>
          <w:iCs/>
          <w:color w:val="000000"/>
          <w:szCs w:val="24"/>
          <w:lang w:eastAsia="es-CO"/>
        </w:rPr>
        <w:t xml:space="preserve"> 3715/86).</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Así mismo, el artículo 1.2.4.2.32 del Decreto 1625 de 2016, establece:</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“Artículo 1.2.4.2.32. Tarifa de retención en la fuente sobre intereses.</w:t>
      </w:r>
      <w:r w:rsidRPr="001D092E">
        <w:rPr>
          <w:rFonts w:eastAsia="Times New Roman" w:cs="Times New Roman"/>
          <w:i/>
          <w:iCs/>
          <w:color w:val="000000"/>
          <w:szCs w:val="24"/>
          <w:lang w:eastAsia="es-CO"/>
        </w:rPr>
        <w:t> El rendimiento financiero por concepto de interese está sometido a la tarifa de retención en la fuente del siete por ciento (7%) (hoy cuatro por ciento (4%) de la respectiva causación, pago o abono en cuenta”.</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(Art. 24, </w:t>
      </w:r>
      <w:r w:rsidRPr="001D092E">
        <w:rPr>
          <w:rFonts w:eastAsia="Times New Roman" w:cs="Times New Roman"/>
          <w:i/>
          <w:iCs/>
          <w:color w:val="000000"/>
          <w:szCs w:val="24"/>
          <w:u w:val="single"/>
          <w:lang w:eastAsia="es-CO"/>
        </w:rPr>
        <w:t>Decreto 700 de 1997</w:t>
      </w:r>
      <w:r w:rsidRPr="001D092E">
        <w:rPr>
          <w:rFonts w:eastAsia="Times New Roman" w:cs="Times New Roman"/>
          <w:i/>
          <w:iCs/>
          <w:color w:val="000000"/>
          <w:szCs w:val="24"/>
          <w:lang w:eastAsia="es-CO"/>
        </w:rPr>
        <w:t>. Ajustada la tarifa por el Art. 3 del </w:t>
      </w:r>
      <w:r w:rsidRPr="001D092E">
        <w:rPr>
          <w:rFonts w:eastAsia="Times New Roman" w:cs="Times New Roman"/>
          <w:i/>
          <w:iCs/>
          <w:color w:val="000000"/>
          <w:szCs w:val="24"/>
          <w:u w:val="single"/>
          <w:lang w:eastAsia="es-CO"/>
        </w:rPr>
        <w:t>Decreto 2418 de 2013</w:t>
      </w:r>
      <w:r w:rsidRPr="001D092E">
        <w:rPr>
          <w:rFonts w:eastAsia="Times New Roman" w:cs="Times New Roman"/>
          <w:i/>
          <w:iCs/>
          <w:color w:val="000000"/>
          <w:szCs w:val="24"/>
          <w:lang w:eastAsia="es-CO"/>
        </w:rPr>
        <w:t>) (El </w:t>
      </w:r>
      <w:r w:rsidRPr="001D092E">
        <w:rPr>
          <w:rFonts w:eastAsia="Times New Roman" w:cs="Times New Roman"/>
          <w:i/>
          <w:iCs/>
          <w:color w:val="000000"/>
          <w:szCs w:val="24"/>
          <w:u w:val="single"/>
          <w:lang w:eastAsia="es-CO"/>
        </w:rPr>
        <w:t>Decreto 700 de 1997</w:t>
      </w:r>
      <w:r w:rsidRPr="001D092E">
        <w:rPr>
          <w:rFonts w:eastAsia="Times New Roman" w:cs="Times New Roman"/>
          <w:i/>
          <w:iCs/>
          <w:color w:val="000000"/>
          <w:szCs w:val="24"/>
          <w:lang w:eastAsia="es-CO"/>
        </w:rPr>
        <w:t> rige a partir del 1º de abril de 1997 y deroga los Decretos 1960 y 2360 de 1996, y las demás disposiciones que le sean contrarias. Art. 45, </w:t>
      </w:r>
      <w:r w:rsidRPr="001D092E">
        <w:rPr>
          <w:rFonts w:eastAsia="Times New Roman" w:cs="Times New Roman"/>
          <w:i/>
          <w:iCs/>
          <w:color w:val="000000"/>
          <w:szCs w:val="24"/>
          <w:u w:val="single"/>
          <w:lang w:eastAsia="es-CO"/>
        </w:rPr>
        <w:t>Decreto 700 de 1997</w:t>
      </w:r>
      <w:r w:rsidRPr="001D092E">
        <w:rPr>
          <w:rFonts w:eastAsia="Times New Roman" w:cs="Times New Roman"/>
          <w:i/>
          <w:iCs/>
          <w:color w:val="000000"/>
          <w:szCs w:val="24"/>
          <w:lang w:eastAsia="es-CO"/>
        </w:rPr>
        <w:t>).</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Ahora, según el Concepto 071901 de noviembre 6 de 2003, los pagos que se efectúen a nacionales colombianos por indemnizaciones provenientes de demandas en contra del estado están sometidos a retención en la fuente por el concepto de otros ingresos tributarios: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lastRenderedPageBreak/>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“El artículo 91 de la Ley 788 de 2002 adicionó al Estatuto Tributario el </w:t>
      </w:r>
      <w:hyperlink r:id="rId45" w:tooltip="Estatuto Tributario CETA" w:history="1">
        <w:r w:rsidRPr="001D092E">
          <w:rPr>
            <w:rFonts w:eastAsia="Times New Roman" w:cs="Times New Roman"/>
            <w:i/>
            <w:iCs/>
            <w:color w:val="0089E1"/>
            <w:szCs w:val="24"/>
            <w:u w:val="single"/>
            <w:lang w:eastAsia="es-CO"/>
          </w:rPr>
          <w:t>artículo 401-2</w:t>
        </w:r>
      </w:hyperlink>
      <w:r w:rsidRPr="001D092E">
        <w:rPr>
          <w:rFonts w:eastAsia="Times New Roman" w:cs="Times New Roman"/>
          <w:i/>
          <w:iCs/>
          <w:color w:val="000000"/>
          <w:szCs w:val="24"/>
          <w:lang w:eastAsia="es-CO"/>
        </w:rPr>
        <w:t> y estableció tarifas especiales de retención en la fuente a título del impuesto de renta y complementarios sobre los pagos o abonos en cuenta por concepto de indemnizaciones diferentes a las salariales, a las percibidas por los nacionales como resultado de demandas contra el Estado y a las contempladas en los artículos </w:t>
      </w:r>
      <w:hyperlink r:id="rId46" w:tooltip="Estatuto Tributario CETA" w:history="1">
        <w:r w:rsidRPr="001D092E">
          <w:rPr>
            <w:rFonts w:eastAsia="Times New Roman" w:cs="Times New Roman"/>
            <w:i/>
            <w:iCs/>
            <w:color w:val="0089E1"/>
            <w:szCs w:val="24"/>
            <w:u w:val="single"/>
            <w:lang w:eastAsia="es-CO"/>
          </w:rPr>
          <w:t>45</w:t>
        </w:r>
      </w:hyperlink>
      <w:r w:rsidRPr="001D092E">
        <w:rPr>
          <w:rFonts w:eastAsia="Times New Roman" w:cs="Times New Roman"/>
          <w:i/>
          <w:iCs/>
          <w:color w:val="000000"/>
          <w:szCs w:val="24"/>
          <w:lang w:eastAsia="es-CO"/>
        </w:rPr>
        <w:t> y </w:t>
      </w:r>
      <w:hyperlink r:id="rId47" w:tooltip="Estatuto Tributario CETA" w:history="1">
        <w:r w:rsidRPr="001D092E">
          <w:rPr>
            <w:rFonts w:eastAsia="Times New Roman" w:cs="Times New Roman"/>
            <w:i/>
            <w:iCs/>
            <w:color w:val="0089E1"/>
            <w:szCs w:val="24"/>
            <w:u w:val="single"/>
            <w:lang w:eastAsia="es-CO"/>
          </w:rPr>
          <w:t>223</w:t>
        </w:r>
      </w:hyperlink>
      <w:r w:rsidRPr="001D092E">
        <w:rPr>
          <w:rFonts w:eastAsia="Times New Roman" w:cs="Times New Roman"/>
          <w:i/>
          <w:iCs/>
          <w:color w:val="000000"/>
          <w:szCs w:val="24"/>
          <w:lang w:eastAsia="es-CO"/>
        </w:rPr>
        <w:t> del Estatuto Tributario.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Al establecer dicha norma unas tarifas especiales de retención en la fuente, diferenciándolas según que los beneficiarios son extranjeros sin residencia en el país, o residentes, y agregar que esas tarifas recaen sobre pagos por indemnizaciones diferentes a las salariales, a las percibidas por nacionales por demandas contra el Estado y a aquellas contempladas en los artículos </w:t>
      </w:r>
      <w:hyperlink r:id="rId48" w:tooltip="Estatuto Tributario CETA" w:history="1">
        <w:r w:rsidRPr="001D092E">
          <w:rPr>
            <w:rFonts w:eastAsia="Times New Roman" w:cs="Times New Roman"/>
            <w:i/>
            <w:iCs/>
            <w:color w:val="0089E1"/>
            <w:szCs w:val="24"/>
            <w:u w:val="single"/>
            <w:lang w:eastAsia="es-CO"/>
          </w:rPr>
          <w:t>45</w:t>
        </w:r>
      </w:hyperlink>
      <w:r w:rsidRPr="001D092E">
        <w:rPr>
          <w:rFonts w:eastAsia="Times New Roman" w:cs="Times New Roman"/>
          <w:i/>
          <w:iCs/>
          <w:color w:val="000000"/>
          <w:szCs w:val="24"/>
          <w:lang w:eastAsia="es-CO"/>
        </w:rPr>
        <w:t> y </w:t>
      </w:r>
      <w:hyperlink r:id="rId49" w:tooltip="Estatuto Tributario CETA" w:history="1">
        <w:r w:rsidRPr="001D092E">
          <w:rPr>
            <w:rFonts w:eastAsia="Times New Roman" w:cs="Times New Roman"/>
            <w:i/>
            <w:iCs/>
            <w:color w:val="0089E1"/>
            <w:szCs w:val="24"/>
            <w:u w:val="single"/>
            <w:lang w:eastAsia="es-CO"/>
          </w:rPr>
          <w:t>223</w:t>
        </w:r>
      </w:hyperlink>
      <w:r w:rsidRPr="001D092E">
        <w:rPr>
          <w:rFonts w:eastAsia="Times New Roman" w:cs="Times New Roman"/>
          <w:i/>
          <w:iCs/>
          <w:color w:val="000000"/>
          <w:szCs w:val="24"/>
          <w:lang w:eastAsia="es-CO"/>
        </w:rPr>
        <w:t> del Estatuto Tributario, no quiere significar que estos pagos no estén sujetos a retención en la fuente. Lo que se sigue del contexto legal es que a los pagos exceptuados de la aplicación del </w:t>
      </w:r>
      <w:hyperlink r:id="rId50" w:tooltip="Estatuto Tributario CETA" w:history="1">
        <w:r w:rsidRPr="001D092E">
          <w:rPr>
            <w:rFonts w:eastAsia="Times New Roman" w:cs="Times New Roman"/>
            <w:i/>
            <w:iCs/>
            <w:color w:val="0089E1"/>
            <w:szCs w:val="24"/>
            <w:u w:val="single"/>
            <w:lang w:eastAsia="es-CO"/>
          </w:rPr>
          <w:t>artículo 401-2</w:t>
        </w:r>
      </w:hyperlink>
      <w:r w:rsidRPr="001D092E">
        <w:rPr>
          <w:rFonts w:eastAsia="Times New Roman" w:cs="Times New Roman"/>
          <w:i/>
          <w:iCs/>
          <w:color w:val="000000"/>
          <w:szCs w:val="24"/>
          <w:lang w:eastAsia="es-CO"/>
        </w:rPr>
        <w:t> se les aplican otras tarifas de retención en la fuente a título del impuesto de renta. Así, por ejemplo, la misma ley estableció una tarifa de retención específica para indemnizaciones derivadas de una relación laboral (</w:t>
      </w:r>
      <w:hyperlink r:id="rId51" w:tooltip="Estatuto Tributario CETA" w:history="1">
        <w:r w:rsidRPr="001D092E">
          <w:rPr>
            <w:rFonts w:eastAsia="Times New Roman" w:cs="Times New Roman"/>
            <w:i/>
            <w:iCs/>
            <w:color w:val="0089E1"/>
            <w:szCs w:val="24"/>
            <w:u w:val="single"/>
            <w:lang w:eastAsia="es-CO"/>
          </w:rPr>
          <w:t>artículo 401-3</w:t>
        </w:r>
      </w:hyperlink>
      <w:r w:rsidRPr="001D092E">
        <w:rPr>
          <w:rFonts w:eastAsia="Times New Roman" w:cs="Times New Roman"/>
          <w:i/>
          <w:iCs/>
          <w:color w:val="000000"/>
          <w:szCs w:val="24"/>
          <w:lang w:eastAsia="es-CO"/>
        </w:rPr>
        <w:t> del Estatuto Tributario).</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xml:space="preserve">En el interés de la consulta, del tenor de la citada norma y considerando el principio de legalidad de los tratamientos exceptivos, </w:t>
      </w:r>
      <w:r w:rsidRPr="001D092E">
        <w:rPr>
          <w:rFonts w:eastAsia="Times New Roman" w:cs="Times New Roman"/>
          <w:i/>
          <w:iCs/>
          <w:color w:val="000000"/>
          <w:szCs w:val="24"/>
          <w:highlight w:val="green"/>
          <w:lang w:eastAsia="es-CO"/>
        </w:rPr>
        <w:t>se establece que las indemnizaciones provenientes de demandas contra el Estado recibidas por nacionales colombianos, aunque no están sujetas a retención en la fuente a título del impuesto sobre la renta a las tarifas del 35% ni del 20%, </w:t>
      </w:r>
      <w:r w:rsidRPr="001D092E">
        <w:rPr>
          <w:rFonts w:eastAsia="Times New Roman" w:cs="Times New Roman"/>
          <w:i/>
          <w:iCs/>
          <w:color w:val="000000"/>
          <w:szCs w:val="24"/>
          <w:highlight w:val="green"/>
          <w:u w:val="single"/>
          <w:lang w:eastAsia="es-CO"/>
        </w:rPr>
        <w:t>sí lo están bajo el concepto de otros ingresos tributarios y con la tarifa propia de este concepto de pago que actualmente es del 3.5% del pago o abono en cuenta</w:t>
      </w:r>
      <w:r w:rsidRPr="001D092E">
        <w:rPr>
          <w:rFonts w:eastAsia="Times New Roman" w:cs="Times New Roman"/>
          <w:i/>
          <w:iCs/>
          <w:color w:val="000000"/>
          <w:szCs w:val="24"/>
          <w:highlight w:val="green"/>
          <w:lang w:eastAsia="es-CO"/>
        </w:rPr>
        <w:t>:</w:t>
      </w:r>
      <w:r w:rsidRPr="001D092E">
        <w:rPr>
          <w:rFonts w:eastAsia="Times New Roman" w:cs="Times New Roman"/>
          <w:i/>
          <w:iCs/>
          <w:color w:val="000000"/>
          <w:szCs w:val="24"/>
          <w:lang w:eastAsia="es-CO"/>
        </w:rPr>
        <w:t xml:space="preserve"> Estatuto Tributario, </w:t>
      </w:r>
      <w:hyperlink r:id="rId52" w:tooltip="Estatuto Tributario CETA" w:history="1">
        <w:r w:rsidRPr="001D092E">
          <w:rPr>
            <w:rFonts w:eastAsia="Times New Roman" w:cs="Times New Roman"/>
            <w:i/>
            <w:iCs/>
            <w:color w:val="0089E1"/>
            <w:szCs w:val="24"/>
            <w:u w:val="single"/>
            <w:lang w:eastAsia="es-CO"/>
          </w:rPr>
          <w:t>artículo 401</w:t>
        </w:r>
      </w:hyperlink>
      <w:r w:rsidRPr="001D092E">
        <w:rPr>
          <w:rFonts w:eastAsia="Times New Roman" w:cs="Times New Roman"/>
          <w:i/>
          <w:iCs/>
          <w:color w:val="000000"/>
          <w:szCs w:val="24"/>
          <w:lang w:eastAsia="es-CO"/>
        </w:rPr>
        <w:t> y Decreto 260 de 2001, artículo 4. No está por demás agregar qué si en la sentencia contra el Estado se identifican valores de pago por concepto de daño emergente, esos valores deben depurarse de la base de retención en la fuente, de conformidad con lo previsto en el </w:t>
      </w:r>
      <w:hyperlink r:id="rId53" w:tooltip="Estatuto Tributario CETA" w:history="1">
        <w:r w:rsidRPr="001D092E">
          <w:rPr>
            <w:rFonts w:eastAsia="Times New Roman" w:cs="Times New Roman"/>
            <w:i/>
            <w:iCs/>
            <w:color w:val="0089E1"/>
            <w:szCs w:val="24"/>
            <w:u w:val="single"/>
            <w:lang w:eastAsia="es-CO"/>
          </w:rPr>
          <w:t>artículo 45</w:t>
        </w:r>
      </w:hyperlink>
      <w:r w:rsidRPr="001D092E">
        <w:rPr>
          <w:rFonts w:eastAsia="Times New Roman" w:cs="Times New Roman"/>
          <w:i/>
          <w:iCs/>
          <w:color w:val="000000"/>
          <w:szCs w:val="24"/>
          <w:lang w:eastAsia="es-CO"/>
        </w:rPr>
        <w:t> del Estatuto Tributario”.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11. ¿La venta de derechos litigiosos a un tercero, qué impuestos gravámenes, retenciones se deben pagar, momento, forma y la persona que está en el deber de declarar y reportar?</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Esta clase de derechos son considerados como activos fijos y se encuentra establecida una retención especial en las siguientes normativas.</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w:t>
      </w:r>
      <w:hyperlink r:id="rId54" w:tooltip="Estatuto Tributario CETA" w:history="1">
        <w:r w:rsidRPr="001D092E">
          <w:rPr>
            <w:rFonts w:eastAsia="Times New Roman" w:cs="Times New Roman"/>
            <w:b/>
            <w:bCs/>
            <w:i/>
            <w:iCs/>
            <w:color w:val="0089E1"/>
            <w:szCs w:val="24"/>
            <w:u w:val="single"/>
            <w:lang w:eastAsia="es-CO"/>
          </w:rPr>
          <w:t>ARTÍCULO 398</w:t>
        </w:r>
      </w:hyperlink>
      <w:r w:rsidRPr="001D092E">
        <w:rPr>
          <w:rFonts w:eastAsia="Times New Roman" w:cs="Times New Roman"/>
          <w:b/>
          <w:bCs/>
          <w:i/>
          <w:iCs/>
          <w:color w:val="000000"/>
          <w:szCs w:val="24"/>
          <w:lang w:eastAsia="es-CO"/>
        </w:rPr>
        <w:t>. RETENCIÓN EN LA ENAJENACIÓN DE ACTIVOS FIJOS DE PERSONAS NATURALES.</w:t>
      </w:r>
      <w:r w:rsidRPr="001D092E">
        <w:rPr>
          <w:rFonts w:eastAsia="Times New Roman" w:cs="Times New Roman"/>
          <w:i/>
          <w:iCs/>
          <w:color w:val="000000"/>
          <w:szCs w:val="24"/>
          <w:lang w:eastAsia="es-CO"/>
        </w:rPr>
        <w:t> Los ingresos que obtengan las personas naturales por concepto de la enajenación de activos fijos, estarán sometidos a una retención en la fuente equivalente al uno por ciento (1%) del valor de la enajenación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00"/>
          <w:szCs w:val="24"/>
          <w:lang w:eastAsia="es-CO"/>
        </w:rPr>
        <w:t>Decreto 1625 de 2013</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 </w:t>
      </w:r>
    </w:p>
    <w:p w:rsidR="001D092E" w:rsidRPr="001D092E" w:rsidRDefault="001D092E" w:rsidP="001D092E">
      <w:pPr>
        <w:spacing w:after="0" w:line="240" w:lineRule="auto"/>
        <w:ind w:left="180"/>
        <w:jc w:val="both"/>
        <w:rPr>
          <w:rFonts w:eastAsia="Times New Roman" w:cs="Times New Roman"/>
          <w:color w:val="000000"/>
          <w:szCs w:val="24"/>
          <w:lang w:eastAsia="es-CO"/>
        </w:rPr>
      </w:pPr>
      <w:r w:rsidRPr="001D092E">
        <w:rPr>
          <w:rFonts w:eastAsia="Times New Roman" w:cs="Times New Roman"/>
          <w:b/>
          <w:bCs/>
          <w:i/>
          <w:iCs/>
          <w:color w:val="000000"/>
          <w:szCs w:val="24"/>
          <w:lang w:eastAsia="es-CO"/>
        </w:rPr>
        <w:t>Artículo 1.2.5.3. Retención en la fuente en la enajenación a título de venta o dación en pago de derechos sociales o litigiosos, que constituyan activos fijos para el enajenante.</w:t>
      </w:r>
      <w:r w:rsidRPr="001D092E">
        <w:rPr>
          <w:rFonts w:eastAsia="Times New Roman" w:cs="Times New Roman"/>
          <w:i/>
          <w:iCs/>
          <w:color w:val="000000"/>
          <w:szCs w:val="24"/>
          <w:lang w:eastAsia="es-CO"/>
        </w:rPr>
        <w:t xml:space="preserve"> La enajenación a título de venta o dación en pago, de derechos </w:t>
      </w:r>
      <w:proofErr w:type="spellStart"/>
      <w:r w:rsidRPr="001D092E">
        <w:rPr>
          <w:rFonts w:eastAsia="Times New Roman" w:cs="Times New Roman"/>
          <w:i/>
          <w:iCs/>
          <w:color w:val="000000"/>
          <w:szCs w:val="24"/>
          <w:lang w:eastAsia="es-CO"/>
        </w:rPr>
        <w:t>sucesorales</w:t>
      </w:r>
      <w:proofErr w:type="spellEnd"/>
      <w:r w:rsidRPr="001D092E">
        <w:rPr>
          <w:rFonts w:eastAsia="Times New Roman" w:cs="Times New Roman"/>
          <w:i/>
          <w:iCs/>
          <w:color w:val="000000"/>
          <w:szCs w:val="24"/>
          <w:lang w:eastAsia="es-CO"/>
        </w:rPr>
        <w:t>, sociales o litigiosos, que constituyan activos fijos para el enajenante, estará sometida a una retención en la fuente del uno por ciento (1%) del valor de la enajenación, la cual deberá consignarse ante el notario que autorice la respectiva escritura pública.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i/>
          <w:iCs/>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12. ¿Que las anteriores inquietudes sean respondidas respecto de los dos (2) procesos, teniendo en cuenta que uno fue reconocido a través de sentencia, y otro a través de autor que aprueba la conciliación?</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Conforme a la introducción a las respuestas, es claro que, conforme a los artículos </w:t>
      </w:r>
      <w:hyperlink r:id="rId55" w:tooltip="Estatuto Tributario CETA" w:history="1">
        <w:r w:rsidRPr="001D092E">
          <w:rPr>
            <w:rFonts w:eastAsia="Times New Roman" w:cs="Times New Roman"/>
            <w:color w:val="0089E1"/>
            <w:szCs w:val="24"/>
            <w:u w:val="single"/>
            <w:lang w:eastAsia="es-CO"/>
          </w:rPr>
          <w:t>26</w:t>
        </w:r>
      </w:hyperlink>
      <w:r w:rsidRPr="001D092E">
        <w:rPr>
          <w:rFonts w:eastAsia="Times New Roman" w:cs="Times New Roman"/>
          <w:color w:val="000000"/>
          <w:szCs w:val="24"/>
          <w:lang w:eastAsia="es-CO"/>
        </w:rPr>
        <w:t>, </w:t>
      </w:r>
      <w:hyperlink r:id="rId56" w:tooltip="Estatuto Tributario CETA" w:history="1">
        <w:r w:rsidRPr="001D092E">
          <w:rPr>
            <w:rFonts w:eastAsia="Times New Roman" w:cs="Times New Roman"/>
            <w:color w:val="0089E1"/>
            <w:szCs w:val="24"/>
            <w:u w:val="single"/>
            <w:lang w:eastAsia="es-CO"/>
          </w:rPr>
          <w:t>596</w:t>
        </w:r>
      </w:hyperlink>
      <w:r w:rsidRPr="001D092E">
        <w:rPr>
          <w:rFonts w:eastAsia="Times New Roman" w:cs="Times New Roman"/>
          <w:color w:val="000000"/>
          <w:szCs w:val="24"/>
          <w:lang w:eastAsia="es-CO"/>
        </w:rPr>
        <w:t>, </w:t>
      </w:r>
      <w:hyperlink r:id="rId57" w:tooltip="Estatuto Tributario CETA" w:history="1">
        <w:r w:rsidRPr="001D092E">
          <w:rPr>
            <w:rFonts w:eastAsia="Times New Roman" w:cs="Times New Roman"/>
            <w:color w:val="0089E1"/>
            <w:szCs w:val="24"/>
            <w:u w:val="single"/>
            <w:lang w:eastAsia="es-CO"/>
          </w:rPr>
          <w:t>800</w:t>
        </w:r>
      </w:hyperlink>
      <w:r w:rsidRPr="001D092E">
        <w:rPr>
          <w:rFonts w:eastAsia="Times New Roman" w:cs="Times New Roman"/>
          <w:color w:val="000000"/>
          <w:szCs w:val="24"/>
          <w:lang w:eastAsia="es-CO"/>
        </w:rPr>
        <w:t> y </w:t>
      </w:r>
      <w:hyperlink r:id="rId58" w:tooltip="Estatuto Tributario CETA" w:history="1">
        <w:r w:rsidRPr="001D092E">
          <w:rPr>
            <w:rFonts w:eastAsia="Times New Roman" w:cs="Times New Roman"/>
            <w:color w:val="0089E1"/>
            <w:szCs w:val="24"/>
            <w:u w:val="single"/>
            <w:lang w:eastAsia="es-CO"/>
          </w:rPr>
          <w:t>381</w:t>
        </w:r>
      </w:hyperlink>
      <w:r w:rsidRPr="001D092E">
        <w:rPr>
          <w:rFonts w:eastAsia="Times New Roman" w:cs="Times New Roman"/>
          <w:color w:val="000000"/>
          <w:szCs w:val="24"/>
          <w:lang w:eastAsia="es-CO"/>
        </w:rPr>
        <w:t xml:space="preserve"> del Estatuto Tributario, los cuales se han explicado anteriormente, independientemente de los procesos judiciales, lo que prima para que un </w:t>
      </w:r>
      <w:r w:rsidRPr="001D092E">
        <w:rPr>
          <w:rFonts w:eastAsia="Times New Roman" w:cs="Times New Roman"/>
          <w:color w:val="000000"/>
          <w:szCs w:val="24"/>
          <w:lang w:eastAsia="es-CO"/>
        </w:rPr>
        <w:lastRenderedPageBreak/>
        <w:t>ingreso pueda considerarse como constitutivo de renta y por lo tanto sujeto a retención en la fuente, para lo cual se requiere que se establezca: (a) que sea un ingreso propio; (b) que sea realizado durante el año o período gravable; (c) que sea susceptible de capitalizarse o producir un incremento neto en el patrimonio; y, (d) que no haya sido expresamente exceptuado como constitutivo de renta o de ganancia ocasional.</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Por último, se le informa que bajo el marco normativo que de manera enunciativa se le ha explicado, le corresponde a quien se encuentre bajo la obligación tributaria sustancial, precisar primero el marco normativo que le obliga y como segundo, proceder de conformidad con esa normatividad a cumplir con sus obligaciones. La administración a través de este concepto solo ha informado las normas de carácter general que pueden ser aplicables al caso en particular, las cuales pueden estar sujetas a cambios y actualizaciones.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Atentamente,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b/>
          <w:bCs/>
          <w:color w:val="000000"/>
          <w:szCs w:val="24"/>
          <w:lang w:eastAsia="es-CO"/>
        </w:rPr>
        <w:t>LORENZO CASTILLO BARVO</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Subdirector de Gestión Normativa y Doctrina (E)</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Dirección Gestión Jurídica</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UAE – Dirección de Impuestos y Aduanas Nacionales</w:t>
      </w:r>
    </w:p>
    <w:p w:rsidR="001D092E" w:rsidRPr="001D092E" w:rsidRDefault="001D092E" w:rsidP="001D092E">
      <w:pPr>
        <w:spacing w:after="0"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_____________________________________________________________________________________________________________________</w:t>
      </w:r>
    </w:p>
    <w:p w:rsidR="001D092E" w:rsidRPr="001D092E" w:rsidRDefault="001D092E" w:rsidP="001D092E">
      <w:pPr>
        <w:spacing w:after="285" w:line="240" w:lineRule="auto"/>
        <w:jc w:val="both"/>
        <w:rPr>
          <w:rFonts w:eastAsia="Times New Roman" w:cs="Times New Roman"/>
          <w:color w:val="000000"/>
          <w:szCs w:val="24"/>
          <w:lang w:eastAsia="es-CO"/>
        </w:rPr>
      </w:pPr>
      <w:r w:rsidRPr="001D092E">
        <w:rPr>
          <w:rFonts w:eastAsia="Times New Roman" w:cs="Times New Roman"/>
          <w:color w:val="000000"/>
          <w:szCs w:val="24"/>
          <w:lang w:eastAsia="es-CO"/>
        </w:rPr>
        <w:t> </w:t>
      </w:r>
    </w:p>
    <w:p w:rsidR="00730617" w:rsidRPr="001D092E" w:rsidRDefault="00730617">
      <w:pPr>
        <w:rPr>
          <w:rFonts w:cs="Times New Roman"/>
          <w:szCs w:val="24"/>
        </w:rPr>
      </w:pPr>
    </w:p>
    <w:sectPr w:rsidR="00730617" w:rsidRPr="001D092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2E"/>
    <w:rsid w:val="001D092E"/>
    <w:rsid w:val="005367BC"/>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8647"/>
  <w15:chartTrackingRefBased/>
  <w15:docId w15:val="{33852EEA-A6EA-4929-8825-05B3DEB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90" TargetMode="External"/><Relationship Id="rId18" Type="http://schemas.openxmlformats.org/officeDocument/2006/relationships/hyperlink" Target="https://www.ceta.org.co/html/vista_de_un_articulo.asp?Norma=81" TargetMode="External"/><Relationship Id="rId26" Type="http://schemas.openxmlformats.org/officeDocument/2006/relationships/hyperlink" Target="https://www.ceta.org.co/html/vista_de_un_articulo.asp?Norma=293" TargetMode="External"/><Relationship Id="rId39" Type="http://schemas.openxmlformats.org/officeDocument/2006/relationships/hyperlink" Target="https://www.ceta.org.co/html/vista_de_un_articulo.asp?Norma=474" TargetMode="External"/><Relationship Id="rId21" Type="http://schemas.openxmlformats.org/officeDocument/2006/relationships/hyperlink" Target="https://www.ceta.org.co/html/vista_de_un_articulo.asp?Norma=56" TargetMode="External"/><Relationship Id="rId34" Type="http://schemas.openxmlformats.org/officeDocument/2006/relationships/hyperlink" Target="https://www.ceta.org.co/html/vista_de_un_articulo.asp?Norma=736" TargetMode="External"/><Relationship Id="rId42" Type="http://schemas.openxmlformats.org/officeDocument/2006/relationships/hyperlink" Target="https://www.ceta.org.co/html/vista_de_un_articulo.asp?Norma=519" TargetMode="External"/><Relationship Id="rId47" Type="http://schemas.openxmlformats.org/officeDocument/2006/relationships/hyperlink" Target="https://www.ceta.org.co/html/vista_de_un_articulo.asp?Norma=293" TargetMode="External"/><Relationship Id="rId50" Type="http://schemas.openxmlformats.org/officeDocument/2006/relationships/hyperlink" Target="https://www.ceta.org.co/html/vista_de_un_articulo.asp?Norma=10891" TargetMode="External"/><Relationship Id="rId55" Type="http://schemas.openxmlformats.org/officeDocument/2006/relationships/hyperlink" Target="https://www.ceta.org.co/html/vista_de_un_articulo.asp?Norma=56" TargetMode="External"/><Relationship Id="rId7" Type="http://schemas.openxmlformats.org/officeDocument/2006/relationships/hyperlink" Target="https://www.ceta.org.co/html/vista_de_un_articulo.asp?Norma=990" TargetMode="External"/><Relationship Id="rId12" Type="http://schemas.openxmlformats.org/officeDocument/2006/relationships/hyperlink" Target="https://www.ceta.org.co/html/vista_de_un_articulo.asp?Norma=990" TargetMode="External"/><Relationship Id="rId17" Type="http://schemas.openxmlformats.org/officeDocument/2006/relationships/hyperlink" Target="https://www.ceta.org.co/html/vista_de_un_articulo.asp?Norma=489" TargetMode="External"/><Relationship Id="rId25" Type="http://schemas.openxmlformats.org/officeDocument/2006/relationships/hyperlink" Target="https://www.ceta.org.co/html/vista_de_un_articulo.asp?Norma=81" TargetMode="External"/><Relationship Id="rId33" Type="http://schemas.openxmlformats.org/officeDocument/2006/relationships/hyperlink" Target="https://www.ceta.org.co/html/vista_de_un_articulo.asp?Norma=56" TargetMode="External"/><Relationship Id="rId38" Type="http://schemas.openxmlformats.org/officeDocument/2006/relationships/hyperlink" Target="https://www.ceta.org.co/html/vista_de_un_articulo.asp?Norma=56" TargetMode="External"/><Relationship Id="rId46" Type="http://schemas.openxmlformats.org/officeDocument/2006/relationships/hyperlink" Target="https://www.ceta.org.co/html/vista_de_un_articulo.asp?Norma=8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474" TargetMode="External"/><Relationship Id="rId20" Type="http://schemas.openxmlformats.org/officeDocument/2006/relationships/hyperlink" Target="https://www.ceta.org.co/html/vista_de_un_articulo.asp?Norma=10891" TargetMode="External"/><Relationship Id="rId29" Type="http://schemas.openxmlformats.org/officeDocument/2006/relationships/hyperlink" Target="https://www.ceta.org.co/html/vista_de_un_articulo.asp?Norma=56" TargetMode="External"/><Relationship Id="rId41" Type="http://schemas.openxmlformats.org/officeDocument/2006/relationships/hyperlink" Target="https://www.ceta.org.co/html/vista_de_un_articulo.asp?Norma=22" TargetMode="External"/><Relationship Id="rId54" Type="http://schemas.openxmlformats.org/officeDocument/2006/relationships/hyperlink" Target="https://www.ceta.org.co/html/vista_de_un_articulo.asp?Norma=493" TargetMode="Externa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11" Type="http://schemas.openxmlformats.org/officeDocument/2006/relationships/hyperlink" Target="https://www.ceta.org.co/html/vista_de_un_articulo.asp?Norma=736" TargetMode="External"/><Relationship Id="rId24" Type="http://schemas.openxmlformats.org/officeDocument/2006/relationships/hyperlink" Target="https://www.ceta.org.co/html/vista_de_un_articulo.asp?Norma=10891" TargetMode="External"/><Relationship Id="rId32" Type="http://schemas.openxmlformats.org/officeDocument/2006/relationships/hyperlink" Target="https://www.ceta.org.co/html/vista_de_un_articulo.asp?Norma=454" TargetMode="External"/><Relationship Id="rId37" Type="http://schemas.openxmlformats.org/officeDocument/2006/relationships/hyperlink" Target="https://www.ceta.org.co/html/vista_de_un_articulo.asp?Norma=474" TargetMode="External"/><Relationship Id="rId40" Type="http://schemas.openxmlformats.org/officeDocument/2006/relationships/hyperlink" Target="https://www.ceta.org.co/html/vista_de_un_articulo.asp?Norma=56" TargetMode="External"/><Relationship Id="rId45" Type="http://schemas.openxmlformats.org/officeDocument/2006/relationships/hyperlink" Target="https://www.ceta.org.co/html/vista_de_un_articulo.asp?Norma=10891" TargetMode="External"/><Relationship Id="rId53" Type="http://schemas.openxmlformats.org/officeDocument/2006/relationships/hyperlink" Target="https://www.ceta.org.co/html/vista_de_un_articulo.asp?Norma=81" TargetMode="External"/><Relationship Id="rId58" Type="http://schemas.openxmlformats.org/officeDocument/2006/relationships/hyperlink" Target="https://www.ceta.org.co/html/vista_de_un_articulo.asp?Norma=474" TargetMode="External"/><Relationship Id="rId5" Type="http://schemas.openxmlformats.org/officeDocument/2006/relationships/hyperlink" Target="https://www.ceta.org.co/html/vista_de_un_articulo.asp?Norma=474" TargetMode="External"/><Relationship Id="rId15" Type="http://schemas.openxmlformats.org/officeDocument/2006/relationships/hyperlink" Target="https://www.ceta.org.co/html/vista_de_un_articulo.asp?Norma=474" TargetMode="External"/><Relationship Id="rId23" Type="http://schemas.openxmlformats.org/officeDocument/2006/relationships/hyperlink" Target="https://www.ceta.org.co/html/vista_de_un_articulo.asp?Norma=56" TargetMode="External"/><Relationship Id="rId28" Type="http://schemas.openxmlformats.org/officeDocument/2006/relationships/hyperlink" Target="https://www.ceta.org.co/html/vista_de_un_articulo.asp?Norma=293" TargetMode="External"/><Relationship Id="rId36" Type="http://schemas.openxmlformats.org/officeDocument/2006/relationships/hyperlink" Target="https://www.ceta.org.co/html/vista_de_un_articulo.asp?Norma=454" TargetMode="External"/><Relationship Id="rId49" Type="http://schemas.openxmlformats.org/officeDocument/2006/relationships/hyperlink" Target="https://www.ceta.org.co/html/vista_de_un_articulo.asp?Norma=293" TargetMode="External"/><Relationship Id="rId57" Type="http://schemas.openxmlformats.org/officeDocument/2006/relationships/hyperlink" Target="https://www.ceta.org.co/html/vista_de_un_articulo.asp?Norma=990" TargetMode="External"/><Relationship Id="rId10" Type="http://schemas.openxmlformats.org/officeDocument/2006/relationships/hyperlink" Target="https://www.ceta.org.co/html/vista_de_un_articulo.asp?Norma=736" TargetMode="External"/><Relationship Id="rId19" Type="http://schemas.openxmlformats.org/officeDocument/2006/relationships/hyperlink" Target="https://www.ceta.org.co/html/vista_de_un_articulo.asp?Norma=293" TargetMode="External"/><Relationship Id="rId31" Type="http://schemas.openxmlformats.org/officeDocument/2006/relationships/hyperlink" Target="https://www.ceta.org.co/html/vista_de_un_articulo.asp?Norma=990" TargetMode="External"/><Relationship Id="rId44" Type="http://schemas.openxmlformats.org/officeDocument/2006/relationships/hyperlink" Target="https://www.ceta.org.co/html/vista_de_un_articulo.asp?Norma=741" TargetMode="External"/><Relationship Id="rId52" Type="http://schemas.openxmlformats.org/officeDocument/2006/relationships/hyperlink" Target="https://www.ceta.org.co/html/vista_de_un_articulo.asp?Norma=496" TargetMode="External"/><Relationship Id="rId60" Type="http://schemas.openxmlformats.org/officeDocument/2006/relationships/theme" Target="theme/theme1.xm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56" TargetMode="External"/><Relationship Id="rId14" Type="http://schemas.openxmlformats.org/officeDocument/2006/relationships/hyperlink" Target="https://www.ceta.org.co/html/vista_de_un_articulo.asp?Norma=454" TargetMode="External"/><Relationship Id="rId22" Type="http://schemas.openxmlformats.org/officeDocument/2006/relationships/hyperlink" Target="https://www.ceta.org.co/html/vista_de_un_articulo.asp?Norma=81" TargetMode="External"/><Relationship Id="rId27" Type="http://schemas.openxmlformats.org/officeDocument/2006/relationships/hyperlink" Target="https://www.ceta.org.co/html/vista_de_un_articulo.asp?Norma=81" TargetMode="External"/><Relationship Id="rId30" Type="http://schemas.openxmlformats.org/officeDocument/2006/relationships/hyperlink" Target="https://www.ceta.org.co/html/vista_de_un_articulo.asp?Norma=736" TargetMode="External"/><Relationship Id="rId35" Type="http://schemas.openxmlformats.org/officeDocument/2006/relationships/hyperlink" Target="https://www.ceta.org.co/html/vista_de_un_articulo.asp?Norma=736" TargetMode="External"/><Relationship Id="rId43" Type="http://schemas.openxmlformats.org/officeDocument/2006/relationships/hyperlink" Target="https://www.ceta.org.co/html/vista_de_un_articulo.asp?Norma=548" TargetMode="External"/><Relationship Id="rId48" Type="http://schemas.openxmlformats.org/officeDocument/2006/relationships/hyperlink" Target="https://www.ceta.org.co/html/vista_de_un_articulo.asp?Norma=81" TargetMode="External"/><Relationship Id="rId56" Type="http://schemas.openxmlformats.org/officeDocument/2006/relationships/hyperlink" Target="https://www.ceta.org.co/html/vista_de_un_articulo.asp?Norma=736" TargetMode="External"/><Relationship Id="rId8" Type="http://schemas.openxmlformats.org/officeDocument/2006/relationships/hyperlink" Target="https://www.ceta.org.co/html/vista_de_un_articulo.asp?Norma=56" TargetMode="External"/><Relationship Id="rId51" Type="http://schemas.openxmlformats.org/officeDocument/2006/relationships/hyperlink" Target="https://www.ceta.org.co/html/vista_de_un_articulo.asp?Norma=10892"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6229</Words>
  <Characters>34260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2019-03-26T00:39:00Z</dcterms:created>
  <dcterms:modified xsi:type="dcterms:W3CDTF">2019-03-26T00:51:00Z</dcterms:modified>
</cp:coreProperties>
</file>