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2D" w:rsidRPr="00ED1D16" w:rsidRDefault="0012532D" w:rsidP="0012532D">
      <w:pPr>
        <w:shd w:val="clear" w:color="auto" w:fill="FFFFFF"/>
        <w:spacing w:line="240" w:lineRule="auto"/>
        <w:jc w:val="center"/>
        <w:rPr>
          <w:rFonts w:eastAsia="Times New Roman" w:cs="Times New Roman"/>
          <w:szCs w:val="24"/>
          <w:lang w:eastAsia="es-CO"/>
        </w:rPr>
      </w:pPr>
      <w:bookmarkStart w:id="0" w:name="_GoBack"/>
      <w:r w:rsidRPr="00ED1D16">
        <w:rPr>
          <w:rFonts w:eastAsia="Times New Roman" w:cs="Times New Roman"/>
          <w:b/>
          <w:bCs/>
          <w:szCs w:val="24"/>
          <w:lang w:eastAsia="es-CO"/>
        </w:rPr>
        <w:t>OFICIO Nº 1511 [015568]</w:t>
      </w:r>
    </w:p>
    <w:p w:rsidR="0012532D" w:rsidRPr="00ED1D16" w:rsidRDefault="0012532D" w:rsidP="0012532D">
      <w:pPr>
        <w:shd w:val="clear" w:color="auto" w:fill="FFFFFF"/>
        <w:spacing w:line="240" w:lineRule="auto"/>
        <w:jc w:val="center"/>
        <w:rPr>
          <w:rFonts w:eastAsia="Times New Roman" w:cs="Times New Roman"/>
          <w:szCs w:val="24"/>
          <w:lang w:eastAsia="es-CO"/>
        </w:rPr>
      </w:pPr>
      <w:r w:rsidRPr="00ED1D16">
        <w:rPr>
          <w:rFonts w:eastAsia="Times New Roman" w:cs="Times New Roman"/>
          <w:b/>
          <w:bCs/>
          <w:szCs w:val="24"/>
          <w:lang w:eastAsia="es-CO"/>
        </w:rPr>
        <w:t>14-06-2019</w:t>
      </w:r>
    </w:p>
    <w:p w:rsidR="0012532D" w:rsidRPr="00ED1D16" w:rsidRDefault="0012532D" w:rsidP="0012532D">
      <w:pPr>
        <w:shd w:val="clear" w:color="auto" w:fill="FFFFFF"/>
        <w:spacing w:line="240" w:lineRule="auto"/>
        <w:jc w:val="center"/>
        <w:rPr>
          <w:rFonts w:eastAsia="Times New Roman" w:cs="Times New Roman"/>
          <w:szCs w:val="24"/>
          <w:lang w:eastAsia="es-CO"/>
        </w:rPr>
      </w:pPr>
      <w:r w:rsidRPr="00ED1D16">
        <w:rPr>
          <w:rFonts w:eastAsia="Times New Roman" w:cs="Times New Roman"/>
          <w:b/>
          <w:bCs/>
          <w:szCs w:val="24"/>
          <w:lang w:eastAsia="es-CO"/>
        </w:rPr>
        <w:t>DIAN</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b/>
          <w:bCs/>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b/>
          <w:bCs/>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Subdirección de Gestión Normativa y Doctrina</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100208221 – 001511</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Bogotá, D.C.</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proofErr w:type="spellStart"/>
      <w:r w:rsidRPr="00ED1D16">
        <w:rPr>
          <w:rFonts w:eastAsia="Times New Roman" w:cs="Times New Roman"/>
          <w:b/>
          <w:bCs/>
          <w:szCs w:val="24"/>
          <w:lang w:eastAsia="es-CO"/>
        </w:rPr>
        <w:t>Ref</w:t>
      </w:r>
      <w:proofErr w:type="spellEnd"/>
      <w:r w:rsidRPr="00ED1D16">
        <w:rPr>
          <w:rFonts w:eastAsia="Times New Roman" w:cs="Times New Roman"/>
          <w:b/>
          <w:bCs/>
          <w:szCs w:val="24"/>
          <w:lang w:eastAsia="es-CO"/>
        </w:rPr>
        <w:t>: </w:t>
      </w:r>
      <w:r w:rsidRPr="00ED1D16">
        <w:rPr>
          <w:rFonts w:eastAsia="Times New Roman" w:cs="Times New Roman"/>
          <w:szCs w:val="24"/>
          <w:lang w:eastAsia="es-CO"/>
        </w:rPr>
        <w:t>Radicados 100029866 del 09/05/2019 y 100029465 del 08/05/19.</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809"/>
      </w:tblGrid>
      <w:tr w:rsidR="00ED1D16" w:rsidRPr="00ED1D16" w:rsidTr="0012532D">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szCs w:val="24"/>
                <w:lang w:eastAsia="es-CO"/>
              </w:rPr>
              <w:t>Impuesto sobre la Renta y Complementarios</w:t>
            </w:r>
          </w:p>
        </w:tc>
      </w:tr>
      <w:tr w:rsidR="00ED1D16" w:rsidRPr="00ED1D16" w:rsidTr="0012532D">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szCs w:val="24"/>
                <w:lang w:eastAsia="es-CO"/>
              </w:rPr>
              <w:t>Arrendamiento Financiero</w:t>
            </w:r>
          </w:p>
        </w:tc>
      </w:tr>
      <w:tr w:rsidR="00ED1D16" w:rsidRPr="00ED1D16" w:rsidTr="0012532D">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532D" w:rsidRPr="00ED1D16" w:rsidRDefault="00ED1D16" w:rsidP="0012532D">
            <w:pPr>
              <w:spacing w:line="240" w:lineRule="auto"/>
              <w:rPr>
                <w:rFonts w:eastAsia="Times New Roman" w:cs="Times New Roman"/>
                <w:szCs w:val="24"/>
                <w:lang w:eastAsia="es-CO"/>
              </w:rPr>
            </w:pPr>
            <w:hyperlink r:id="rId4" w:tooltip="Estatuto Tributario CETA" w:history="1">
              <w:r w:rsidR="0012532D" w:rsidRPr="00ED1D16">
                <w:rPr>
                  <w:rFonts w:eastAsia="Times New Roman" w:cs="Times New Roman"/>
                  <w:szCs w:val="24"/>
                  <w:u w:val="single"/>
                  <w:lang w:eastAsia="es-CO"/>
                </w:rPr>
                <w:t>Artículo 127-1</w:t>
              </w:r>
            </w:hyperlink>
            <w:r w:rsidR="0012532D" w:rsidRPr="00ED1D16">
              <w:rPr>
                <w:rFonts w:eastAsia="Times New Roman" w:cs="Times New Roman"/>
                <w:szCs w:val="24"/>
                <w:lang w:eastAsia="es-CO"/>
              </w:rPr>
              <w:t> del Estatuto Tributario</w:t>
            </w:r>
          </w:p>
          <w:p w:rsidR="0012532D" w:rsidRPr="00ED1D16" w:rsidRDefault="0012532D" w:rsidP="0012532D">
            <w:pPr>
              <w:spacing w:line="240" w:lineRule="auto"/>
              <w:rPr>
                <w:rFonts w:eastAsia="Times New Roman" w:cs="Times New Roman"/>
                <w:szCs w:val="24"/>
                <w:lang w:eastAsia="es-CO"/>
              </w:rPr>
            </w:pPr>
            <w:r w:rsidRPr="00ED1D16">
              <w:rPr>
                <w:rFonts w:eastAsia="Times New Roman" w:cs="Times New Roman"/>
                <w:szCs w:val="24"/>
                <w:lang w:eastAsia="es-CO"/>
              </w:rPr>
              <w:t>Oficio No. 030990 del 28 de diciembre de 2018</w:t>
            </w:r>
          </w:p>
        </w:tc>
      </w:tr>
    </w:tbl>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Estimado señor Tapiero:</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Mediante escritos radicados No. 100029866 del 09/05/2019 y 100029465 del 08/05/19, esta Subdirección recibió una consulta por medio de la cual se solicita aclarar, lo siguiente:</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i/>
          <w:iCs/>
          <w:szCs w:val="24"/>
          <w:lang w:eastAsia="es-CO"/>
        </w:rPr>
        <w:t>“(…) si el hecho que con un contrato de arrendamiento no se pretenda la adquisición financiada de un activo, e inclusive no se cumplan con los parámetros definidos en la técnica contable norma NIIF 16 para definirlo como un contrato de arrendamiento financiero, </w:t>
      </w:r>
      <w:r w:rsidRPr="00ED1D16">
        <w:rPr>
          <w:rFonts w:eastAsia="Times New Roman" w:cs="Times New Roman"/>
          <w:i/>
          <w:iCs/>
          <w:szCs w:val="24"/>
          <w:u w:val="single"/>
          <w:lang w:eastAsia="es-CO"/>
        </w:rPr>
        <w:t>pese a que existe una opción de compra</w:t>
      </w:r>
      <w:r w:rsidRPr="00ED1D16">
        <w:rPr>
          <w:rFonts w:eastAsia="Times New Roman" w:cs="Times New Roman"/>
          <w:i/>
          <w:iCs/>
          <w:szCs w:val="24"/>
          <w:lang w:eastAsia="es-CO"/>
        </w:rPr>
        <w:t>, permite concluir que se trata de un arrendamiento operativo de conformidad con lo previsto en el </w:t>
      </w:r>
      <w:hyperlink r:id="rId5" w:tooltip="Estatuto Tributario CETA" w:history="1">
        <w:r w:rsidRPr="00ED1D16">
          <w:rPr>
            <w:rFonts w:eastAsia="Times New Roman" w:cs="Times New Roman"/>
            <w:i/>
            <w:iCs/>
            <w:szCs w:val="24"/>
            <w:u w:val="single"/>
            <w:lang w:eastAsia="es-CO"/>
          </w:rPr>
          <w:t>artículo 127-1</w:t>
        </w:r>
      </w:hyperlink>
      <w:r w:rsidRPr="00ED1D16">
        <w:rPr>
          <w:rFonts w:eastAsia="Times New Roman" w:cs="Times New Roman"/>
          <w:i/>
          <w:iCs/>
          <w:szCs w:val="24"/>
          <w:lang w:eastAsia="es-CO"/>
        </w:rPr>
        <w:t> del E.T.”.</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i/>
          <w:iCs/>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En atención a la consulta, se procede a analizar las siguientes consideraciones tributarias:</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1. Según lo expuesto en el Oficio No. 030990 del 28 de diciembre de 2018, donde se analizó la modificación que introdujo el artículo 76 de la Ley 1819 de 2016 al </w:t>
      </w:r>
      <w:hyperlink r:id="rId6" w:tooltip="Estatuto Tributario CETA" w:history="1">
        <w:r w:rsidRPr="00ED1D16">
          <w:rPr>
            <w:rFonts w:eastAsia="Times New Roman" w:cs="Times New Roman"/>
            <w:szCs w:val="24"/>
            <w:u w:val="single"/>
            <w:lang w:eastAsia="es-CO"/>
          </w:rPr>
          <w:t>artículo 127-1</w:t>
        </w:r>
      </w:hyperlink>
      <w:r w:rsidRPr="00ED1D16">
        <w:rPr>
          <w:rFonts w:eastAsia="Times New Roman" w:cs="Times New Roman"/>
          <w:szCs w:val="24"/>
          <w:lang w:eastAsia="es-CO"/>
        </w:rPr>
        <w:t>Estatuto Tributario (“</w:t>
      </w:r>
      <w:r w:rsidRPr="00ED1D16">
        <w:rPr>
          <w:rFonts w:eastAsia="Times New Roman" w:cs="Times New Roman"/>
          <w:szCs w:val="24"/>
          <w:u w:val="single"/>
          <w:lang w:eastAsia="es-CO"/>
        </w:rPr>
        <w:t>E.T.</w:t>
      </w:r>
      <w:r w:rsidRPr="00ED1D16">
        <w:rPr>
          <w:rFonts w:eastAsia="Times New Roman" w:cs="Times New Roman"/>
          <w:szCs w:val="24"/>
          <w:lang w:eastAsia="es-CO"/>
        </w:rPr>
        <w:t>”), se estableció que:</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i/>
          <w:iCs/>
          <w:szCs w:val="24"/>
          <w:lang w:eastAsia="es-CO"/>
        </w:rPr>
        <w:t>“De la exposición de motivos se desprende que la intención del legislador era establecer la prevalencia de la esencia económica para clasificar el contrato de arrendamiento como financiero al tenor de la técnica contable, pero la propia norma tributaria establece aquellos indicios de manera taxativa que dan origen a un contrato de arrendamiento financiero. En este sentido el </w:t>
      </w:r>
      <w:hyperlink r:id="rId7" w:tooltip="Estatuto Tributario CETA" w:history="1">
        <w:r w:rsidRPr="00ED1D16">
          <w:rPr>
            <w:rFonts w:eastAsia="Times New Roman" w:cs="Times New Roman"/>
            <w:i/>
            <w:iCs/>
            <w:szCs w:val="24"/>
            <w:u w:val="single"/>
            <w:lang w:eastAsia="es-CO"/>
          </w:rPr>
          <w:t>artículo 127-1</w:t>
        </w:r>
      </w:hyperlink>
      <w:r w:rsidRPr="00ED1D16">
        <w:rPr>
          <w:rFonts w:eastAsia="Times New Roman" w:cs="Times New Roman"/>
          <w:i/>
          <w:iCs/>
          <w:szCs w:val="24"/>
          <w:lang w:eastAsia="es-CO"/>
        </w:rPr>
        <w:t> del Estatuto Tributario tiene que aplicarse, partiendo con una premisa fundamental que establece el parágrafo 4 del mismo artículo, el cual es que la esencia económica prima, independientemente de la denominación que se le otorgue al contrato.”</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i/>
          <w:iCs/>
          <w:szCs w:val="24"/>
          <w:lang w:eastAsia="es-CO"/>
        </w:rPr>
        <w:lastRenderedPageBreak/>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2. Adicionalmente, en la misma oportunidad este despacho estableció que:</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i/>
          <w:iCs/>
          <w:szCs w:val="24"/>
          <w:lang w:eastAsia="es-CO"/>
        </w:rPr>
        <w:t>“(…) ¿Un contrato puede calificar para fines fiscales como un contrato de arrendamiento financiero incluso si no tiene una opción de compra en favor del arrendatario?</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i/>
          <w:iCs/>
          <w:szCs w:val="24"/>
          <w:lang w:eastAsia="es-CO"/>
        </w:rPr>
        <w:t>(…)</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i/>
          <w:iCs/>
          <w:szCs w:val="24"/>
          <w:lang w:eastAsia="es-CO"/>
        </w:rPr>
        <w:t>Se reconsidera la respuesta dada, estableciendo que SÍ puede calificarse como arrendamiento financiero, por las razones expuestas en el presupuesto general de esta reconsideración, en especial a que la opción de compra es una de las diferentes característica u opciones que puede darse en este tipo de contrato, pero no necesariamente puede ocurrir, es por eso que la misma norma consagra otros elementos que pueden calificar a esta modalidad contractual.</w:t>
      </w:r>
    </w:p>
    <w:p w:rsidR="0012532D" w:rsidRPr="00ED1D16" w:rsidRDefault="0012532D" w:rsidP="0012532D">
      <w:pPr>
        <w:shd w:val="clear" w:color="auto" w:fill="FFFFFF"/>
        <w:spacing w:line="240" w:lineRule="auto"/>
        <w:ind w:left="180"/>
        <w:rPr>
          <w:rFonts w:eastAsia="Times New Roman" w:cs="Times New Roman"/>
          <w:szCs w:val="24"/>
          <w:lang w:eastAsia="es-CO"/>
        </w:rPr>
      </w:pPr>
      <w:r w:rsidRPr="00ED1D16">
        <w:rPr>
          <w:rFonts w:eastAsia="Times New Roman" w:cs="Times New Roman"/>
          <w:i/>
          <w:iCs/>
          <w:szCs w:val="24"/>
          <w:lang w:eastAsia="es-CO"/>
        </w:rPr>
        <w:t>(…).”</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i/>
          <w:iCs/>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3. De lo anterior, es preciso señalar que el </w:t>
      </w:r>
      <w:hyperlink r:id="rId8" w:tooltip="Estatuto Tributario CETA" w:history="1">
        <w:r w:rsidRPr="00ED1D16">
          <w:rPr>
            <w:rFonts w:eastAsia="Times New Roman" w:cs="Times New Roman"/>
            <w:szCs w:val="24"/>
            <w:u w:val="single"/>
            <w:lang w:eastAsia="es-CO"/>
          </w:rPr>
          <w:t>artículo 127-1</w:t>
        </w:r>
      </w:hyperlink>
      <w:r w:rsidRPr="00ED1D16">
        <w:rPr>
          <w:rFonts w:eastAsia="Times New Roman" w:cs="Times New Roman"/>
          <w:szCs w:val="24"/>
          <w:lang w:eastAsia="es-CO"/>
        </w:rPr>
        <w:t> del E.T. establece como premisa, para determinar si el contrato corresponde a un arrendamiento financiero (leasing) u operativo, analizar la esencia económica del mismo.</w:t>
      </w:r>
    </w:p>
    <w:p w:rsidR="0012532D" w:rsidRPr="00ED1D16" w:rsidRDefault="0012532D" w:rsidP="0012532D">
      <w:pPr>
        <w:shd w:val="clear" w:color="auto" w:fill="FFFFFF"/>
        <w:spacing w:line="240" w:lineRule="auto"/>
        <w:rPr>
          <w:rFonts w:eastAsia="Times New Roman" w:cs="Times New Roman"/>
          <w:szCs w:val="24"/>
          <w:lang w:eastAsia="es-CO"/>
        </w:rPr>
      </w:pP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4. Consideramos que los indicios incluidos en el </w:t>
      </w:r>
      <w:hyperlink r:id="rId9" w:tooltip="Estatuto Tributario CETA" w:history="1">
        <w:r w:rsidRPr="00ED1D16">
          <w:rPr>
            <w:rFonts w:eastAsia="Times New Roman" w:cs="Times New Roman"/>
            <w:szCs w:val="24"/>
            <w:u w:val="single"/>
            <w:lang w:eastAsia="es-CO"/>
          </w:rPr>
          <w:t>artículo 127-1</w:t>
        </w:r>
      </w:hyperlink>
      <w:r w:rsidRPr="00ED1D16">
        <w:rPr>
          <w:rFonts w:eastAsia="Times New Roman" w:cs="Times New Roman"/>
          <w:szCs w:val="24"/>
          <w:lang w:eastAsia="es-CO"/>
        </w:rPr>
        <w:t> del E.T. deben entenderse como fenómenos que permiten inferir la existencia de un contrato de arrendamiento financiero. Sin embargo, la existencia de uno de estos indicios no debería determinar de pleno la existencia de un contrato de arrendamiento financiero cuando la esencia económica demuestra lo contrario.</w:t>
      </w:r>
    </w:p>
    <w:p w:rsidR="0012532D" w:rsidRPr="00ED1D16" w:rsidRDefault="0012532D" w:rsidP="0012532D">
      <w:pPr>
        <w:shd w:val="clear" w:color="auto" w:fill="FFFFFF"/>
        <w:spacing w:line="240" w:lineRule="auto"/>
        <w:rPr>
          <w:rFonts w:eastAsia="Times New Roman" w:cs="Times New Roman"/>
          <w:szCs w:val="24"/>
          <w:lang w:eastAsia="es-CO"/>
        </w:rPr>
      </w:pP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5. En este sentido, es posible reconocer que la inclusión de la opción de compra no es necesariamente un elemento determinante para establecer que el contrato deba ser reconocido como un arrendamiento financiero para efectos fiscales, ya que lo determinante será analizar la esencia económica del contrato según se expuso en los párrafos anteriores.</w:t>
      </w:r>
    </w:p>
    <w:p w:rsidR="0012532D" w:rsidRPr="00ED1D16" w:rsidRDefault="0012532D" w:rsidP="0012532D">
      <w:pPr>
        <w:shd w:val="clear" w:color="auto" w:fill="FFFFFF"/>
        <w:spacing w:line="240" w:lineRule="auto"/>
        <w:rPr>
          <w:rFonts w:eastAsia="Times New Roman" w:cs="Times New Roman"/>
          <w:szCs w:val="24"/>
          <w:lang w:eastAsia="es-CO"/>
        </w:rPr>
      </w:pP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6. Así mismo, es posible reconocer que la omisión de la opción de compra no es necesariamente un elemento determinante para establecer que el contrato deba ser reconocido como un arrendamiento operativo, tal y como se expuso en el Oficio No. 030990 del 28 de diciembre de 2018.</w:t>
      </w:r>
    </w:p>
    <w:p w:rsidR="0012532D" w:rsidRPr="00ED1D16" w:rsidRDefault="0012532D" w:rsidP="0012532D">
      <w:pPr>
        <w:shd w:val="clear" w:color="auto" w:fill="FFFFFF"/>
        <w:spacing w:line="240" w:lineRule="auto"/>
        <w:rPr>
          <w:rFonts w:eastAsia="Times New Roman" w:cs="Times New Roman"/>
          <w:szCs w:val="24"/>
          <w:lang w:eastAsia="es-CO"/>
        </w:rPr>
      </w:pP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7. Por último, cabe señalar que el literal b del numeral 1 del </w:t>
      </w:r>
      <w:hyperlink r:id="rId10" w:tooltip="Estatuto Tributario CETA" w:history="1">
        <w:r w:rsidRPr="00ED1D16">
          <w:rPr>
            <w:rFonts w:eastAsia="Times New Roman" w:cs="Times New Roman"/>
            <w:szCs w:val="24"/>
            <w:u w:val="single"/>
            <w:lang w:eastAsia="es-CO"/>
          </w:rPr>
          <w:t>127-1</w:t>
        </w:r>
      </w:hyperlink>
      <w:r w:rsidRPr="00ED1D16">
        <w:rPr>
          <w:rFonts w:eastAsia="Times New Roman" w:cs="Times New Roman"/>
          <w:szCs w:val="24"/>
          <w:lang w:eastAsia="es-CO"/>
        </w:rPr>
        <w:t> del E.T. establece que arrendamiento operativo es </w:t>
      </w:r>
      <w:r w:rsidRPr="00ED1D16">
        <w:rPr>
          <w:rFonts w:eastAsia="Times New Roman" w:cs="Times New Roman"/>
          <w:i/>
          <w:iCs/>
          <w:szCs w:val="24"/>
          <w:lang w:eastAsia="es-CO"/>
        </w:rPr>
        <w:t>“todo arrendamiento diferente de un arrendamiento financiero o leasing financiero”. </w:t>
      </w:r>
      <w:r w:rsidRPr="00ED1D16">
        <w:rPr>
          <w:rFonts w:eastAsia="Times New Roman" w:cs="Times New Roman"/>
          <w:szCs w:val="24"/>
          <w:lang w:eastAsia="es-CO"/>
        </w:rPr>
        <w:t>Por lo cual, cualquier arrendamiento que no cumpla con la esencia económica de un arrendamiento financiero deberá ser tratado para efectos fiscales como un arrendamiento operativo, así incluya una opción de compra.</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Atentamente,</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 </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b/>
          <w:bCs/>
          <w:szCs w:val="24"/>
          <w:lang w:eastAsia="es-CO"/>
        </w:rPr>
        <w:t>LORENZO CASTILLO BARVO</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Subdirector de Gestión Normativa y Doctrina (E)</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Dirección de Gestión Jurídica</w:t>
      </w:r>
    </w:p>
    <w:p w:rsidR="0012532D" w:rsidRPr="00ED1D16" w:rsidRDefault="0012532D" w:rsidP="0012532D">
      <w:pPr>
        <w:shd w:val="clear" w:color="auto" w:fill="FFFFFF"/>
        <w:spacing w:line="240" w:lineRule="auto"/>
        <w:rPr>
          <w:rFonts w:eastAsia="Times New Roman" w:cs="Times New Roman"/>
          <w:szCs w:val="24"/>
          <w:lang w:eastAsia="es-CO"/>
        </w:rPr>
      </w:pPr>
      <w:r w:rsidRPr="00ED1D16">
        <w:rPr>
          <w:rFonts w:eastAsia="Times New Roman" w:cs="Times New Roman"/>
          <w:szCs w:val="24"/>
          <w:lang w:eastAsia="es-CO"/>
        </w:rPr>
        <w:t>UAE – Dirección de Impuestos y Aduanas Nacionales</w:t>
      </w:r>
    </w:p>
    <w:bookmarkEnd w:id="0"/>
    <w:p w:rsidR="00730617" w:rsidRPr="00ED1D16" w:rsidRDefault="00730617">
      <w:pPr>
        <w:rPr>
          <w:rFonts w:cs="Times New Roman"/>
          <w:szCs w:val="24"/>
        </w:rPr>
      </w:pPr>
    </w:p>
    <w:sectPr w:rsidR="00730617" w:rsidRPr="00ED1D16"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2D"/>
    <w:rsid w:val="0012532D"/>
    <w:rsid w:val="00730617"/>
    <w:rsid w:val="00A45230"/>
    <w:rsid w:val="00ED1D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BA87B-6700-4EE4-9E7A-88F1ADA8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6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88"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88" TargetMode="External"/><Relationship Id="rId10" Type="http://schemas.openxmlformats.org/officeDocument/2006/relationships/hyperlink" Target="https://www.ceta.org.co/html/vista_de_un_articulo.asp?Norma=188" TargetMode="External"/><Relationship Id="rId4" Type="http://schemas.openxmlformats.org/officeDocument/2006/relationships/hyperlink" Target="https://www.ceta.org.co/html/vista_de_un_articulo.asp?Norma=188" TargetMode="External"/><Relationship Id="rId9" Type="http://schemas.openxmlformats.org/officeDocument/2006/relationships/hyperlink" Target="https://www.ceta.org.co/html/vista_de_un_articulo.asp?Norma=1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2019-08-24T15:21:00Z</dcterms:created>
  <dcterms:modified xsi:type="dcterms:W3CDTF">2019-08-24T17:23:00Z</dcterms:modified>
</cp:coreProperties>
</file>