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6D5" w:rsidRDefault="00BE56D5">
      <w:pPr>
        <w:rPr>
          <w:rFonts w:ascii="Segoe UI" w:hAnsi="Segoe UI" w:cs="Segoe UI"/>
          <w:b/>
          <w:bCs/>
          <w:color w:val="000000"/>
          <w:sz w:val="20"/>
          <w:szCs w:val="20"/>
          <w:shd w:val="clear" w:color="auto" w:fill="FFFFFF"/>
        </w:rPr>
      </w:pPr>
    </w:p>
    <w:p w:rsidR="00BE56D5" w:rsidRDefault="00BE56D5">
      <w:pPr>
        <w:rPr>
          <w:rFonts w:ascii="Segoe UI" w:hAnsi="Segoe UI" w:cs="Segoe UI"/>
          <w:b/>
          <w:bCs/>
          <w:color w:val="000000"/>
          <w:sz w:val="20"/>
          <w:szCs w:val="20"/>
          <w:shd w:val="clear" w:color="auto" w:fill="FFFFFF"/>
        </w:rPr>
      </w:pPr>
    </w:p>
    <w:p w:rsidR="00BE56D5" w:rsidRPr="00BE56D5" w:rsidRDefault="00BE56D5" w:rsidP="00BE56D5">
      <w:pPr>
        <w:spacing w:line="240" w:lineRule="auto"/>
        <w:jc w:val="center"/>
        <w:rPr>
          <w:rFonts w:ascii="Arial" w:eastAsia="Times New Roman" w:hAnsi="Arial" w:cs="Arial"/>
          <w:sz w:val="18"/>
          <w:szCs w:val="18"/>
          <w:lang w:eastAsia="es-CO"/>
        </w:rPr>
      </w:pPr>
      <w:r w:rsidRPr="00BE56D5">
        <w:rPr>
          <w:rFonts w:ascii="Segoe UI" w:eastAsia="Times New Roman" w:hAnsi="Segoe UI" w:cs="Segoe UI"/>
          <w:b/>
          <w:bCs/>
          <w:color w:val="0000FF"/>
          <w:sz w:val="28"/>
          <w:szCs w:val="28"/>
          <w:lang w:eastAsia="es-CO"/>
        </w:rPr>
        <w:br/>
        <w:t>OFICIO Nº 1421 [014908]</w:t>
      </w:r>
    </w:p>
    <w:p w:rsidR="00BE56D5" w:rsidRPr="00BE56D5" w:rsidRDefault="00BE56D5" w:rsidP="00BE56D5">
      <w:pPr>
        <w:spacing w:line="240" w:lineRule="auto"/>
        <w:jc w:val="center"/>
        <w:rPr>
          <w:rFonts w:ascii="Arial" w:eastAsia="Times New Roman" w:hAnsi="Arial" w:cs="Arial"/>
          <w:sz w:val="18"/>
          <w:szCs w:val="18"/>
          <w:lang w:eastAsia="es-CO"/>
        </w:rPr>
      </w:pPr>
      <w:r w:rsidRPr="00BE56D5">
        <w:rPr>
          <w:rFonts w:ascii="Segoe UI" w:eastAsia="Times New Roman" w:hAnsi="Segoe UI" w:cs="Segoe UI"/>
          <w:b/>
          <w:bCs/>
          <w:color w:val="0000FF"/>
          <w:sz w:val="28"/>
          <w:szCs w:val="28"/>
          <w:lang w:eastAsia="es-CO"/>
        </w:rPr>
        <w:t>10-06-2019</w:t>
      </w:r>
    </w:p>
    <w:p w:rsidR="00BE56D5" w:rsidRPr="00BE56D5" w:rsidRDefault="00BE56D5" w:rsidP="00BE56D5">
      <w:pPr>
        <w:spacing w:line="240" w:lineRule="auto"/>
        <w:jc w:val="center"/>
        <w:rPr>
          <w:rFonts w:ascii="Arial" w:eastAsia="Times New Roman" w:hAnsi="Arial" w:cs="Arial"/>
          <w:sz w:val="18"/>
          <w:szCs w:val="18"/>
          <w:lang w:eastAsia="es-CO"/>
        </w:rPr>
      </w:pPr>
      <w:r w:rsidRPr="00BE56D5">
        <w:rPr>
          <w:rFonts w:ascii="Segoe UI" w:eastAsia="Times New Roman" w:hAnsi="Segoe UI" w:cs="Segoe UI"/>
          <w:b/>
          <w:bCs/>
          <w:color w:val="0000FF"/>
          <w:sz w:val="28"/>
          <w:szCs w:val="28"/>
          <w:lang w:eastAsia="es-CO"/>
        </w:rPr>
        <w:t>DIAN</w:t>
      </w:r>
    </w:p>
    <w:p w:rsidR="00BE56D5" w:rsidRPr="00BE56D5" w:rsidRDefault="00BE56D5" w:rsidP="00BE56D5">
      <w:pPr>
        <w:spacing w:line="240" w:lineRule="auto"/>
        <w:rPr>
          <w:rFonts w:ascii="Arial" w:eastAsia="Times New Roman" w:hAnsi="Arial" w:cs="Arial"/>
          <w:sz w:val="18"/>
          <w:szCs w:val="18"/>
          <w:lang w:eastAsia="es-CO"/>
        </w:rPr>
      </w:pPr>
      <w:r w:rsidRPr="00BE56D5">
        <w:rPr>
          <w:rFonts w:ascii="Segoe UI" w:eastAsia="Times New Roman" w:hAnsi="Segoe UI" w:cs="Segoe UI"/>
          <w:b/>
          <w:bCs/>
          <w:color w:val="0000FF"/>
          <w:sz w:val="22"/>
          <w:lang w:eastAsia="es-CO"/>
        </w:rPr>
        <w:t> </w:t>
      </w:r>
    </w:p>
    <w:p w:rsidR="00BE56D5" w:rsidRPr="00BE56D5" w:rsidRDefault="00BE56D5" w:rsidP="00BE56D5">
      <w:pPr>
        <w:spacing w:line="240" w:lineRule="auto"/>
        <w:rPr>
          <w:rFonts w:ascii="Arial" w:eastAsia="Times New Roman" w:hAnsi="Arial" w:cs="Arial"/>
          <w:sz w:val="18"/>
          <w:szCs w:val="18"/>
          <w:lang w:eastAsia="es-CO"/>
        </w:rPr>
      </w:pPr>
      <w:r w:rsidRPr="00BE56D5">
        <w:rPr>
          <w:rFonts w:ascii="Segoe UI" w:eastAsia="Times New Roman" w:hAnsi="Segoe UI" w:cs="Segoe UI"/>
          <w:b/>
          <w:bCs/>
          <w:color w:val="0000FF"/>
          <w:sz w:val="22"/>
          <w:lang w:eastAsia="es-CO"/>
        </w:rPr>
        <w:t> </w:t>
      </w:r>
    </w:p>
    <w:p w:rsidR="00BE56D5" w:rsidRPr="00BE56D5" w:rsidRDefault="00BE56D5" w:rsidP="00BE56D5">
      <w:pPr>
        <w:spacing w:line="240" w:lineRule="auto"/>
        <w:rPr>
          <w:rFonts w:ascii="Arial" w:eastAsia="Times New Roman" w:hAnsi="Arial" w:cs="Arial"/>
          <w:sz w:val="18"/>
          <w:szCs w:val="18"/>
          <w:lang w:eastAsia="es-CO"/>
        </w:rPr>
      </w:pPr>
      <w:r w:rsidRPr="00BE56D5">
        <w:rPr>
          <w:rFonts w:ascii="Segoe UI" w:eastAsia="Times New Roman" w:hAnsi="Segoe UI" w:cs="Segoe UI"/>
          <w:sz w:val="22"/>
          <w:lang w:eastAsia="es-CO"/>
        </w:rPr>
        <w:t>Subdirección de Gestión Normativa y Doctrina</w:t>
      </w:r>
      <w:bookmarkStart w:id="0" w:name="_GoBack"/>
      <w:bookmarkEnd w:id="0"/>
    </w:p>
    <w:p w:rsidR="00BE56D5" w:rsidRPr="00BE56D5" w:rsidRDefault="00BE56D5" w:rsidP="00BE56D5">
      <w:pPr>
        <w:spacing w:line="240" w:lineRule="auto"/>
        <w:rPr>
          <w:rFonts w:ascii="Arial" w:eastAsia="Times New Roman" w:hAnsi="Arial" w:cs="Arial"/>
          <w:sz w:val="18"/>
          <w:szCs w:val="18"/>
          <w:lang w:eastAsia="es-CO"/>
        </w:rPr>
      </w:pPr>
      <w:r w:rsidRPr="00BE56D5">
        <w:rPr>
          <w:rFonts w:ascii="Segoe UI" w:eastAsia="Times New Roman" w:hAnsi="Segoe UI" w:cs="Segoe UI"/>
          <w:sz w:val="22"/>
          <w:lang w:eastAsia="es-CO"/>
        </w:rPr>
        <w:t>100208221 – 1421</w:t>
      </w:r>
    </w:p>
    <w:p w:rsidR="00BE56D5" w:rsidRPr="00BE56D5" w:rsidRDefault="00BE56D5" w:rsidP="00BE56D5">
      <w:pPr>
        <w:spacing w:line="240" w:lineRule="auto"/>
        <w:rPr>
          <w:rFonts w:ascii="Arial" w:eastAsia="Times New Roman" w:hAnsi="Arial" w:cs="Arial"/>
          <w:sz w:val="18"/>
          <w:szCs w:val="18"/>
          <w:lang w:eastAsia="es-CO"/>
        </w:rPr>
      </w:pPr>
      <w:r w:rsidRPr="00BE56D5">
        <w:rPr>
          <w:rFonts w:ascii="Segoe UI" w:eastAsia="Times New Roman" w:hAnsi="Segoe UI" w:cs="Segoe UI"/>
          <w:sz w:val="22"/>
          <w:lang w:eastAsia="es-CO"/>
        </w:rPr>
        <w:t>Bogotá, D. C.</w:t>
      </w:r>
    </w:p>
    <w:p w:rsidR="00BE56D5" w:rsidRPr="00BE56D5" w:rsidRDefault="00BE56D5" w:rsidP="00BE56D5">
      <w:pPr>
        <w:spacing w:line="240" w:lineRule="auto"/>
        <w:rPr>
          <w:rFonts w:ascii="Arial" w:eastAsia="Times New Roman" w:hAnsi="Arial" w:cs="Arial"/>
          <w:sz w:val="18"/>
          <w:szCs w:val="18"/>
          <w:lang w:eastAsia="es-CO"/>
        </w:rPr>
      </w:pPr>
      <w:r w:rsidRPr="00BE56D5">
        <w:rPr>
          <w:rFonts w:ascii="Segoe UI" w:eastAsia="Times New Roman" w:hAnsi="Segoe UI" w:cs="Segoe UI"/>
          <w:sz w:val="22"/>
          <w:lang w:eastAsia="es-CO"/>
        </w:rPr>
        <w:t> </w:t>
      </w:r>
    </w:p>
    <w:p w:rsidR="00BE56D5" w:rsidRPr="00BE56D5" w:rsidRDefault="00BE56D5" w:rsidP="00BE56D5">
      <w:pPr>
        <w:spacing w:line="240" w:lineRule="auto"/>
        <w:rPr>
          <w:rFonts w:ascii="Arial" w:eastAsia="Times New Roman" w:hAnsi="Arial" w:cs="Arial"/>
          <w:sz w:val="18"/>
          <w:szCs w:val="18"/>
          <w:lang w:eastAsia="es-CO"/>
        </w:rPr>
      </w:pPr>
      <w:r w:rsidRPr="00BE56D5">
        <w:rPr>
          <w:rFonts w:ascii="Segoe UI" w:eastAsia="Times New Roman" w:hAnsi="Segoe UI" w:cs="Segoe UI"/>
          <w:b/>
          <w:bCs/>
          <w:sz w:val="22"/>
          <w:lang w:eastAsia="es-CO"/>
        </w:rPr>
        <w:t>Referencia: </w:t>
      </w:r>
      <w:r w:rsidRPr="00BE56D5">
        <w:rPr>
          <w:rFonts w:ascii="Segoe UI" w:eastAsia="Times New Roman" w:hAnsi="Segoe UI" w:cs="Segoe UI"/>
          <w:sz w:val="22"/>
          <w:lang w:eastAsia="es-CO"/>
        </w:rPr>
        <w:t>Concepto de oficio relacionado con la base gravable aplicable a impuesto nacional al consumo de bienes inmuebles en los contratos de arrendamiento financiero o leasing cuando se ejerce la opción de compra.</w:t>
      </w:r>
    </w:p>
    <w:p w:rsidR="00BE56D5" w:rsidRPr="00BE56D5" w:rsidRDefault="00BE56D5" w:rsidP="00BE56D5">
      <w:pPr>
        <w:spacing w:line="240" w:lineRule="auto"/>
        <w:rPr>
          <w:rFonts w:ascii="Arial" w:eastAsia="Times New Roman" w:hAnsi="Arial" w:cs="Arial"/>
          <w:sz w:val="18"/>
          <w:szCs w:val="18"/>
          <w:lang w:eastAsia="es-CO"/>
        </w:rPr>
      </w:pPr>
      <w:r w:rsidRPr="00BE56D5">
        <w:rPr>
          <w:rFonts w:ascii="Segoe UI" w:eastAsia="Times New Roman" w:hAnsi="Segoe UI" w:cs="Segoe UI"/>
          <w:sz w:val="22"/>
          <w:lang w:eastAsia="es-CO"/>
        </w:rPr>
        <w:t> </w:t>
      </w:r>
    </w:p>
    <w:p w:rsidR="00BE56D5" w:rsidRPr="00BE56D5" w:rsidRDefault="00BE56D5" w:rsidP="00BE56D5">
      <w:pPr>
        <w:spacing w:line="240" w:lineRule="auto"/>
        <w:rPr>
          <w:rFonts w:ascii="Arial" w:eastAsia="Times New Roman" w:hAnsi="Arial" w:cs="Arial"/>
          <w:sz w:val="18"/>
          <w:szCs w:val="18"/>
          <w:lang w:eastAsia="es-CO"/>
        </w:rPr>
      </w:pPr>
      <w:r w:rsidRPr="00BE56D5">
        <w:rPr>
          <w:rFonts w:ascii="Segoe UI" w:eastAsia="Times New Roman" w:hAnsi="Segoe UI" w:cs="Segoe UI"/>
          <w:sz w:val="22"/>
          <w:lang w:eastAsia="es-CO"/>
        </w:rPr>
        <w:t> </w:t>
      </w:r>
    </w:p>
    <w:p w:rsidR="00BE56D5" w:rsidRPr="00BE56D5" w:rsidRDefault="00BE56D5" w:rsidP="00BE56D5">
      <w:pPr>
        <w:spacing w:line="240" w:lineRule="auto"/>
        <w:rPr>
          <w:rFonts w:ascii="Arial" w:eastAsia="Times New Roman" w:hAnsi="Arial" w:cs="Arial"/>
          <w:sz w:val="18"/>
          <w:szCs w:val="18"/>
          <w:lang w:eastAsia="es-CO"/>
        </w:rPr>
      </w:pPr>
      <w:r w:rsidRPr="00BE56D5">
        <w:rPr>
          <w:rFonts w:ascii="Segoe UI" w:eastAsia="Times New Roman" w:hAnsi="Segoe UI" w:cs="Segoe UI"/>
          <w:sz w:val="22"/>
          <w:lang w:eastAsia="es-CO"/>
        </w:rPr>
        <w:t>Estimados señores y señoras:</w:t>
      </w:r>
    </w:p>
    <w:p w:rsidR="00BE56D5" w:rsidRPr="00BE56D5" w:rsidRDefault="00BE56D5" w:rsidP="00BE56D5">
      <w:pPr>
        <w:spacing w:line="240" w:lineRule="auto"/>
        <w:rPr>
          <w:rFonts w:ascii="Arial" w:eastAsia="Times New Roman" w:hAnsi="Arial" w:cs="Arial"/>
          <w:sz w:val="18"/>
          <w:szCs w:val="18"/>
          <w:lang w:eastAsia="es-CO"/>
        </w:rPr>
      </w:pPr>
      <w:r w:rsidRPr="00BE56D5">
        <w:rPr>
          <w:rFonts w:ascii="Segoe UI" w:eastAsia="Times New Roman" w:hAnsi="Segoe UI" w:cs="Segoe UI"/>
          <w:sz w:val="22"/>
          <w:lang w:eastAsia="es-CO"/>
        </w:rPr>
        <w:t> </w:t>
      </w:r>
    </w:p>
    <w:p w:rsidR="00BE56D5" w:rsidRPr="00BE56D5" w:rsidRDefault="00BE56D5" w:rsidP="00BE56D5">
      <w:pPr>
        <w:spacing w:line="240" w:lineRule="auto"/>
        <w:rPr>
          <w:rFonts w:ascii="Arial" w:eastAsia="Times New Roman" w:hAnsi="Arial" w:cs="Arial"/>
          <w:sz w:val="18"/>
          <w:szCs w:val="18"/>
          <w:lang w:eastAsia="es-CO"/>
        </w:rPr>
      </w:pPr>
      <w:r w:rsidRPr="00BE56D5">
        <w:rPr>
          <w:rFonts w:ascii="Segoe UI" w:eastAsia="Times New Roman" w:hAnsi="Segoe UI" w:cs="Segoe UI"/>
          <w:sz w:val="22"/>
          <w:lang w:eastAsia="es-CO"/>
        </w:rPr>
        <w:t>De acuerdo con las inquietudes presentadas por los contribuyentes respecto a la base gravable aplicable del impuesto nacional al consumo de bienes inmuebles en los contratos de arrendamiento financiero o leasing cuando se ejerce la opción de compra, como consecuencia de la emisión del Decreto número 961 del 5 de junio de 2019, por medio del cual se reglamentó el </w:t>
      </w:r>
      <w:hyperlink r:id="rId4" w:tooltip="Estatuto Tributario CETA" w:history="1">
        <w:r w:rsidRPr="00BE56D5">
          <w:rPr>
            <w:rFonts w:ascii="Segoe UI" w:eastAsia="Times New Roman" w:hAnsi="Segoe UI" w:cs="Segoe UI"/>
            <w:color w:val="0089E1"/>
            <w:sz w:val="22"/>
            <w:u w:val="single"/>
            <w:lang w:eastAsia="es-CO"/>
          </w:rPr>
          <w:t>artículo 512-22</w:t>
        </w:r>
      </w:hyperlink>
      <w:r w:rsidRPr="00BE56D5">
        <w:rPr>
          <w:rFonts w:ascii="Segoe UI" w:eastAsia="Times New Roman" w:hAnsi="Segoe UI" w:cs="Segoe UI"/>
          <w:sz w:val="22"/>
          <w:lang w:eastAsia="es-CO"/>
        </w:rPr>
        <w:t> del Estatuto Tributario y se adicionan unos artículos al Título 3 de la Parte 3 del Libro 1 del Decreto número 1625 de 2016 Único Reglamentario en Materia Tributaria Mediante, este despacho considera necesario emitir el siguiente concepto de oficio:</w:t>
      </w:r>
    </w:p>
    <w:p w:rsidR="00BE56D5" w:rsidRPr="00BE56D5" w:rsidRDefault="00BE56D5" w:rsidP="00BE56D5">
      <w:pPr>
        <w:spacing w:line="240" w:lineRule="auto"/>
        <w:rPr>
          <w:rFonts w:ascii="Arial" w:eastAsia="Times New Roman" w:hAnsi="Arial" w:cs="Arial"/>
          <w:sz w:val="18"/>
          <w:szCs w:val="18"/>
          <w:lang w:eastAsia="es-CO"/>
        </w:rPr>
      </w:pPr>
      <w:r w:rsidRPr="00BE56D5">
        <w:rPr>
          <w:rFonts w:ascii="Segoe UI" w:eastAsia="Times New Roman" w:hAnsi="Segoe UI" w:cs="Segoe UI"/>
          <w:sz w:val="22"/>
          <w:lang w:eastAsia="es-CO"/>
        </w:rPr>
        <w:t> </w:t>
      </w:r>
    </w:p>
    <w:p w:rsidR="00BE56D5" w:rsidRPr="00BE56D5" w:rsidRDefault="00BE56D5" w:rsidP="00BE56D5">
      <w:pPr>
        <w:spacing w:line="240" w:lineRule="auto"/>
        <w:rPr>
          <w:rFonts w:ascii="Arial" w:eastAsia="Times New Roman" w:hAnsi="Arial" w:cs="Arial"/>
          <w:sz w:val="18"/>
          <w:szCs w:val="18"/>
          <w:lang w:eastAsia="es-CO"/>
        </w:rPr>
      </w:pPr>
      <w:r w:rsidRPr="00BE56D5">
        <w:rPr>
          <w:rFonts w:ascii="Segoe UI" w:eastAsia="Times New Roman" w:hAnsi="Segoe UI" w:cs="Segoe UI"/>
          <w:sz w:val="22"/>
          <w:lang w:eastAsia="es-CO"/>
        </w:rPr>
        <w:t>De acuerdo con lo anterior, se procede a analizar las siguientes consideraciones tributarias:</w:t>
      </w:r>
    </w:p>
    <w:p w:rsidR="00BE56D5" w:rsidRPr="00BE56D5" w:rsidRDefault="00BE56D5" w:rsidP="00BE56D5">
      <w:pPr>
        <w:spacing w:line="240" w:lineRule="auto"/>
        <w:rPr>
          <w:rFonts w:ascii="Arial" w:eastAsia="Times New Roman" w:hAnsi="Arial" w:cs="Arial"/>
          <w:sz w:val="18"/>
          <w:szCs w:val="18"/>
          <w:lang w:eastAsia="es-CO"/>
        </w:rPr>
      </w:pPr>
      <w:r w:rsidRPr="00BE56D5">
        <w:rPr>
          <w:rFonts w:ascii="Segoe UI" w:eastAsia="Times New Roman" w:hAnsi="Segoe UI" w:cs="Segoe UI"/>
          <w:sz w:val="22"/>
          <w:lang w:eastAsia="es-CO"/>
        </w:rPr>
        <w:t> </w:t>
      </w:r>
    </w:p>
    <w:p w:rsidR="00BE56D5" w:rsidRPr="00BE56D5" w:rsidRDefault="00BE56D5" w:rsidP="00BE56D5">
      <w:pPr>
        <w:spacing w:line="240" w:lineRule="auto"/>
        <w:rPr>
          <w:rFonts w:ascii="Arial" w:eastAsia="Times New Roman" w:hAnsi="Arial" w:cs="Arial"/>
          <w:sz w:val="18"/>
          <w:szCs w:val="18"/>
          <w:lang w:eastAsia="es-CO"/>
        </w:rPr>
      </w:pPr>
      <w:r w:rsidRPr="00BE56D5">
        <w:rPr>
          <w:rFonts w:ascii="Segoe UI" w:eastAsia="Times New Roman" w:hAnsi="Segoe UI" w:cs="Segoe UI"/>
          <w:sz w:val="22"/>
          <w:lang w:eastAsia="es-CO"/>
        </w:rPr>
        <w:t>1. Respecto al tema de la referencia, es necesario precisar que el artículo 1.2.1.17.5. del Decreto número 1625 de 2016 establece que:</w:t>
      </w:r>
    </w:p>
    <w:p w:rsidR="00BE56D5" w:rsidRPr="00BE56D5" w:rsidRDefault="00BE56D5" w:rsidP="00BE56D5">
      <w:pPr>
        <w:spacing w:line="240" w:lineRule="auto"/>
        <w:ind w:left="180"/>
        <w:rPr>
          <w:rFonts w:ascii="Arial" w:eastAsia="Times New Roman" w:hAnsi="Arial" w:cs="Arial"/>
          <w:sz w:val="18"/>
          <w:szCs w:val="18"/>
          <w:lang w:eastAsia="es-CO"/>
        </w:rPr>
      </w:pPr>
      <w:r w:rsidRPr="00BE56D5">
        <w:rPr>
          <w:rFonts w:ascii="Segoe UI" w:eastAsia="Times New Roman" w:hAnsi="Segoe UI" w:cs="Segoe UI"/>
          <w:i/>
          <w:iCs/>
          <w:sz w:val="22"/>
          <w:lang w:eastAsia="es-CO"/>
        </w:rPr>
        <w:t> </w:t>
      </w:r>
    </w:p>
    <w:p w:rsidR="00BE56D5" w:rsidRPr="00BE56D5" w:rsidRDefault="00BE56D5" w:rsidP="00BE56D5">
      <w:pPr>
        <w:spacing w:line="240" w:lineRule="auto"/>
        <w:ind w:left="180"/>
        <w:rPr>
          <w:rFonts w:ascii="Arial" w:eastAsia="Times New Roman" w:hAnsi="Arial" w:cs="Arial"/>
          <w:sz w:val="18"/>
          <w:szCs w:val="18"/>
          <w:lang w:eastAsia="es-CO"/>
        </w:rPr>
      </w:pPr>
      <w:r w:rsidRPr="00BE56D5">
        <w:rPr>
          <w:rFonts w:ascii="Segoe UI" w:eastAsia="Times New Roman" w:hAnsi="Segoe UI" w:cs="Segoe UI"/>
          <w:b/>
          <w:bCs/>
          <w:i/>
          <w:iCs/>
          <w:sz w:val="22"/>
          <w:lang w:eastAsia="es-CO"/>
        </w:rPr>
        <w:t>“Artículo 1.2.1.17.5. Valor de la enajenación de los bienes en los contratos de arrendamiento financiero. </w:t>
      </w:r>
      <w:r w:rsidRPr="00BE56D5">
        <w:rPr>
          <w:rFonts w:ascii="Segoe UI" w:eastAsia="Times New Roman" w:hAnsi="Segoe UI" w:cs="Segoe UI"/>
          <w:i/>
          <w:iCs/>
          <w:sz w:val="22"/>
          <w:u w:val="single"/>
          <w:lang w:eastAsia="es-CO"/>
        </w:rPr>
        <w:t>En el caso de enajenación de bienes objeto de un contrato de arrendamiento financiero, se tendrá como valor comercial de enajenación para efectos tributarios, el valor de la opción de compra</w:t>
      </w:r>
      <w:r w:rsidRPr="00BE56D5">
        <w:rPr>
          <w:rFonts w:ascii="Segoe UI" w:eastAsia="Times New Roman" w:hAnsi="Segoe UI" w:cs="Segoe UI"/>
          <w:i/>
          <w:iCs/>
          <w:sz w:val="22"/>
          <w:lang w:eastAsia="es-CO"/>
        </w:rPr>
        <w:t>.</w:t>
      </w:r>
    </w:p>
    <w:p w:rsidR="00BE56D5" w:rsidRPr="00BE56D5" w:rsidRDefault="00BE56D5" w:rsidP="00BE56D5">
      <w:pPr>
        <w:spacing w:line="240" w:lineRule="auto"/>
        <w:ind w:left="180"/>
        <w:rPr>
          <w:rFonts w:ascii="Arial" w:eastAsia="Times New Roman" w:hAnsi="Arial" w:cs="Arial"/>
          <w:sz w:val="18"/>
          <w:szCs w:val="18"/>
          <w:lang w:eastAsia="es-CO"/>
        </w:rPr>
      </w:pPr>
      <w:r w:rsidRPr="00BE56D5">
        <w:rPr>
          <w:rFonts w:ascii="Arial" w:eastAsia="Times New Roman" w:hAnsi="Arial" w:cs="Arial"/>
          <w:sz w:val="18"/>
          <w:szCs w:val="18"/>
          <w:lang w:eastAsia="es-CO"/>
        </w:rPr>
        <w:t> </w:t>
      </w:r>
    </w:p>
    <w:p w:rsidR="00BE56D5" w:rsidRPr="00BE56D5" w:rsidRDefault="00BE56D5" w:rsidP="00BE56D5">
      <w:pPr>
        <w:spacing w:line="240" w:lineRule="auto"/>
        <w:ind w:left="180"/>
        <w:rPr>
          <w:rFonts w:ascii="Arial" w:eastAsia="Times New Roman" w:hAnsi="Arial" w:cs="Arial"/>
          <w:sz w:val="18"/>
          <w:szCs w:val="18"/>
          <w:lang w:eastAsia="es-CO"/>
        </w:rPr>
      </w:pPr>
      <w:r w:rsidRPr="00BE56D5">
        <w:rPr>
          <w:rFonts w:ascii="Segoe UI" w:eastAsia="Times New Roman" w:hAnsi="Segoe UI" w:cs="Segoe UI"/>
          <w:i/>
          <w:iCs/>
          <w:sz w:val="22"/>
          <w:u w:val="single"/>
          <w:lang w:eastAsia="es-CO"/>
        </w:rPr>
        <w:t>Cuando se trate de bienes raíces, se aceptará para efectos fiscales, que el precio de venta sea inferior al costo o al avalúo catastral vigente en la fecha de enajenación, siempre que el valor de la opción de compra sumado al valor de los cánones de arrendamiento causados con anterioridad a la enajenación, supere el costo o el avalúo catastral vigente, según el caso, en la fecha de enajenación</w:t>
      </w:r>
      <w:r w:rsidRPr="00BE56D5">
        <w:rPr>
          <w:rFonts w:ascii="Segoe UI" w:eastAsia="Times New Roman" w:hAnsi="Segoe UI" w:cs="Segoe UI"/>
          <w:i/>
          <w:iCs/>
          <w:sz w:val="22"/>
          <w:lang w:eastAsia="es-CO"/>
        </w:rPr>
        <w:t>.</w:t>
      </w:r>
    </w:p>
    <w:p w:rsidR="00BE56D5" w:rsidRPr="00BE56D5" w:rsidRDefault="00BE56D5" w:rsidP="00BE56D5">
      <w:pPr>
        <w:spacing w:line="240" w:lineRule="auto"/>
        <w:ind w:left="180"/>
        <w:rPr>
          <w:rFonts w:ascii="Arial" w:eastAsia="Times New Roman" w:hAnsi="Arial" w:cs="Arial"/>
          <w:sz w:val="18"/>
          <w:szCs w:val="18"/>
          <w:lang w:eastAsia="es-CO"/>
        </w:rPr>
      </w:pPr>
      <w:r w:rsidRPr="00BE56D5">
        <w:rPr>
          <w:rFonts w:ascii="Segoe UI" w:eastAsia="Times New Roman" w:hAnsi="Segoe UI" w:cs="Segoe UI"/>
          <w:i/>
          <w:iCs/>
          <w:sz w:val="22"/>
          <w:lang w:eastAsia="es-CO"/>
        </w:rPr>
        <w:t> </w:t>
      </w:r>
    </w:p>
    <w:p w:rsidR="00BE56D5" w:rsidRPr="00BE56D5" w:rsidRDefault="00BE56D5" w:rsidP="00BE56D5">
      <w:pPr>
        <w:spacing w:line="240" w:lineRule="auto"/>
        <w:ind w:left="180"/>
        <w:rPr>
          <w:rFonts w:ascii="Arial" w:eastAsia="Times New Roman" w:hAnsi="Arial" w:cs="Arial"/>
          <w:sz w:val="18"/>
          <w:szCs w:val="18"/>
          <w:lang w:eastAsia="es-CO"/>
        </w:rPr>
      </w:pPr>
      <w:r w:rsidRPr="00BE56D5">
        <w:rPr>
          <w:rFonts w:ascii="Segoe UI" w:eastAsia="Times New Roman" w:hAnsi="Segoe UI" w:cs="Segoe UI"/>
          <w:i/>
          <w:iCs/>
          <w:sz w:val="22"/>
          <w:lang w:eastAsia="es-CO"/>
        </w:rPr>
        <w:t>Cuando el valor de la opción de compra sumado al valor de los cánones de arrendamiento causados con anterioridad a la enajenación fuere inferior al costo o al avalúo catastral vigente, para efectos fiscales se deberá agregar, al precio de venta, el valor que resulte de restar del costo o avalúo catastral vigente, según corresponda, el valor de la opción de compra sumado al valor de los cánones de arrendamientos causados con anterioridad a la enajenación.”</w:t>
      </w:r>
    </w:p>
    <w:p w:rsidR="00BE56D5" w:rsidRPr="00BE56D5" w:rsidRDefault="00BE56D5" w:rsidP="00BE56D5">
      <w:pPr>
        <w:spacing w:line="240" w:lineRule="auto"/>
        <w:rPr>
          <w:rFonts w:ascii="Arial" w:eastAsia="Times New Roman" w:hAnsi="Arial" w:cs="Arial"/>
          <w:sz w:val="18"/>
          <w:szCs w:val="18"/>
          <w:lang w:eastAsia="es-CO"/>
        </w:rPr>
      </w:pPr>
      <w:r w:rsidRPr="00BE56D5">
        <w:rPr>
          <w:rFonts w:ascii="Segoe UI" w:eastAsia="Times New Roman" w:hAnsi="Segoe UI" w:cs="Segoe UI"/>
          <w:sz w:val="22"/>
          <w:lang w:eastAsia="es-CO"/>
        </w:rPr>
        <w:t> </w:t>
      </w:r>
    </w:p>
    <w:p w:rsidR="00BE56D5" w:rsidRPr="00BE56D5" w:rsidRDefault="00BE56D5" w:rsidP="00BE56D5">
      <w:pPr>
        <w:spacing w:line="240" w:lineRule="auto"/>
        <w:rPr>
          <w:rFonts w:ascii="Arial" w:eastAsia="Times New Roman" w:hAnsi="Arial" w:cs="Arial"/>
          <w:sz w:val="18"/>
          <w:szCs w:val="18"/>
          <w:lang w:eastAsia="es-CO"/>
        </w:rPr>
      </w:pPr>
      <w:r w:rsidRPr="00BE56D5">
        <w:rPr>
          <w:rFonts w:ascii="Segoe UI" w:eastAsia="Times New Roman" w:hAnsi="Segoe UI" w:cs="Segoe UI"/>
          <w:sz w:val="22"/>
          <w:lang w:eastAsia="es-CO"/>
        </w:rPr>
        <w:lastRenderedPageBreak/>
        <w:t>2. Por lo anterior, es posible evidenciar que el valor de la enajenación del bien inmueble en los contratos de arrendamiento financiero podrá ser igual al valor de la opción de compra para efectos tributarios.</w:t>
      </w:r>
    </w:p>
    <w:p w:rsidR="00BE56D5" w:rsidRPr="00BE56D5" w:rsidRDefault="00BE56D5" w:rsidP="00BE56D5">
      <w:pPr>
        <w:spacing w:line="240" w:lineRule="auto"/>
        <w:rPr>
          <w:rFonts w:ascii="Arial" w:eastAsia="Times New Roman" w:hAnsi="Arial" w:cs="Arial"/>
          <w:sz w:val="18"/>
          <w:szCs w:val="18"/>
          <w:lang w:eastAsia="es-CO"/>
        </w:rPr>
      </w:pPr>
      <w:r w:rsidRPr="00BE56D5">
        <w:rPr>
          <w:rFonts w:ascii="Segoe UI" w:eastAsia="Times New Roman" w:hAnsi="Segoe UI" w:cs="Segoe UI"/>
          <w:sz w:val="22"/>
          <w:lang w:eastAsia="es-CO"/>
        </w:rPr>
        <w:t>3. En esta medida, consideramos que para efectos del impuesto nacional al consumo de bienes inmuebles la base gravable en la enajenación que se realiza entre el arrendador y el locatario en el momento del ejercicio de la opción de compra será el valor de la opción de compra.</w:t>
      </w:r>
    </w:p>
    <w:p w:rsidR="00BE56D5" w:rsidRPr="00BE56D5" w:rsidRDefault="00BE56D5" w:rsidP="00BE56D5">
      <w:pPr>
        <w:spacing w:line="240" w:lineRule="auto"/>
        <w:rPr>
          <w:rFonts w:ascii="Arial" w:eastAsia="Times New Roman" w:hAnsi="Arial" w:cs="Arial"/>
          <w:sz w:val="18"/>
          <w:szCs w:val="18"/>
          <w:lang w:eastAsia="es-CO"/>
        </w:rPr>
      </w:pPr>
      <w:r w:rsidRPr="00BE56D5">
        <w:rPr>
          <w:rFonts w:ascii="Segoe UI" w:eastAsia="Times New Roman" w:hAnsi="Segoe UI" w:cs="Segoe UI"/>
          <w:sz w:val="22"/>
          <w:lang w:eastAsia="es-CO"/>
        </w:rPr>
        <w:t>4. Sumado a lo anterior, es preciso señalar que el </w:t>
      </w:r>
      <w:hyperlink r:id="rId5" w:tooltip="Estatuto Tributario CETA" w:history="1">
        <w:r w:rsidRPr="00BE56D5">
          <w:rPr>
            <w:rFonts w:ascii="Segoe UI" w:eastAsia="Times New Roman" w:hAnsi="Segoe UI" w:cs="Segoe UI"/>
            <w:color w:val="0089E1"/>
            <w:sz w:val="22"/>
            <w:u w:val="single"/>
            <w:lang w:eastAsia="es-CO"/>
          </w:rPr>
          <w:t>artículo 512-22</w:t>
        </w:r>
      </w:hyperlink>
      <w:r w:rsidRPr="00BE56D5">
        <w:rPr>
          <w:rFonts w:ascii="Segoe UI" w:eastAsia="Times New Roman" w:hAnsi="Segoe UI" w:cs="Segoe UI"/>
          <w:sz w:val="22"/>
          <w:lang w:eastAsia="es-CO"/>
        </w:rPr>
        <w:t> del E.T. establece que el hecho generador del impuesto nacional al consumo de bienes inmuebles únicamente tendrá lugar cuando la enajenación involucre bienes inmuebles que superen las 26.800 UVT.</w:t>
      </w:r>
    </w:p>
    <w:p w:rsidR="00BE56D5" w:rsidRPr="00BE56D5" w:rsidRDefault="00BE56D5" w:rsidP="00BE56D5">
      <w:pPr>
        <w:spacing w:line="240" w:lineRule="auto"/>
        <w:rPr>
          <w:rFonts w:ascii="Arial" w:eastAsia="Times New Roman" w:hAnsi="Arial" w:cs="Arial"/>
          <w:sz w:val="18"/>
          <w:szCs w:val="18"/>
          <w:lang w:eastAsia="es-CO"/>
        </w:rPr>
      </w:pPr>
      <w:r w:rsidRPr="00BE56D5">
        <w:rPr>
          <w:rFonts w:ascii="Segoe UI" w:eastAsia="Times New Roman" w:hAnsi="Segoe UI" w:cs="Segoe UI"/>
          <w:sz w:val="22"/>
          <w:lang w:eastAsia="es-CO"/>
        </w:rPr>
        <w:t>5. En consecuencia, es preciso señalar que únicamente habrá lugar al impuesto nacional al consumo de bienes inmuebles en los contratos de arredramiento financiero o leasing en el momento del ejercicio de la opción de compra cuando la misma supere las 26.800 UVT.</w:t>
      </w:r>
    </w:p>
    <w:p w:rsidR="00BE56D5" w:rsidRPr="00BE56D5" w:rsidRDefault="00BE56D5" w:rsidP="00BE56D5">
      <w:pPr>
        <w:spacing w:line="240" w:lineRule="auto"/>
        <w:rPr>
          <w:rFonts w:ascii="Arial" w:eastAsia="Times New Roman" w:hAnsi="Arial" w:cs="Arial"/>
          <w:sz w:val="18"/>
          <w:szCs w:val="18"/>
          <w:lang w:eastAsia="es-CO"/>
        </w:rPr>
      </w:pPr>
      <w:r w:rsidRPr="00BE56D5">
        <w:rPr>
          <w:rFonts w:ascii="Segoe UI" w:eastAsia="Times New Roman" w:hAnsi="Segoe UI" w:cs="Segoe UI"/>
          <w:sz w:val="22"/>
          <w:lang w:eastAsia="es-CO"/>
        </w:rPr>
        <w:t> </w:t>
      </w:r>
    </w:p>
    <w:p w:rsidR="00BE56D5" w:rsidRPr="00BE56D5" w:rsidRDefault="00BE56D5" w:rsidP="00BE56D5">
      <w:pPr>
        <w:spacing w:line="240" w:lineRule="auto"/>
        <w:rPr>
          <w:rFonts w:ascii="Arial" w:eastAsia="Times New Roman" w:hAnsi="Arial" w:cs="Arial"/>
          <w:sz w:val="18"/>
          <w:szCs w:val="18"/>
          <w:lang w:eastAsia="es-CO"/>
        </w:rPr>
      </w:pPr>
      <w:r w:rsidRPr="00BE56D5">
        <w:rPr>
          <w:rFonts w:ascii="Segoe UI" w:eastAsia="Times New Roman" w:hAnsi="Segoe UI" w:cs="Segoe UI"/>
          <w:sz w:val="22"/>
          <w:lang w:eastAsia="es-CO"/>
        </w:rPr>
        <w:t> </w:t>
      </w:r>
    </w:p>
    <w:p w:rsidR="00BE56D5" w:rsidRDefault="00BE56D5">
      <w:pPr>
        <w:rPr>
          <w:rFonts w:ascii="Segoe UI" w:hAnsi="Segoe UI" w:cs="Segoe UI"/>
          <w:b/>
          <w:bCs/>
          <w:color w:val="000000"/>
          <w:sz w:val="20"/>
          <w:szCs w:val="20"/>
          <w:shd w:val="clear" w:color="auto" w:fill="FFFFFF"/>
        </w:rPr>
      </w:pPr>
    </w:p>
    <w:p w:rsidR="00BE56D5" w:rsidRDefault="00BE56D5" w:rsidP="00BE56D5">
      <w:pPr>
        <w:pStyle w:val="pa6"/>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Atentamente,</w:t>
      </w:r>
    </w:p>
    <w:p w:rsidR="00BE56D5" w:rsidRDefault="00BE56D5" w:rsidP="00BE56D5">
      <w:pPr>
        <w:pStyle w:val="pa6"/>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 </w:t>
      </w:r>
    </w:p>
    <w:p w:rsidR="00BE56D5" w:rsidRDefault="00BE56D5" w:rsidP="00BE56D5">
      <w:pPr>
        <w:pStyle w:val="pa6"/>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 </w:t>
      </w:r>
    </w:p>
    <w:p w:rsidR="00BE56D5" w:rsidRDefault="00BE56D5" w:rsidP="00BE56D5">
      <w:pPr>
        <w:pStyle w:val="pa6"/>
        <w:spacing w:before="0" w:beforeAutospacing="0" w:after="0" w:afterAutospacing="0"/>
        <w:jc w:val="both"/>
        <w:rPr>
          <w:rFonts w:ascii="Arial" w:hAnsi="Arial" w:cs="Arial"/>
          <w:color w:val="000000"/>
          <w:sz w:val="18"/>
          <w:szCs w:val="18"/>
        </w:rPr>
      </w:pPr>
      <w:r>
        <w:rPr>
          <w:rFonts w:ascii="Segoe UI" w:hAnsi="Segoe UI" w:cs="Segoe UI"/>
          <w:b/>
          <w:bCs/>
          <w:color w:val="000000"/>
          <w:sz w:val="22"/>
          <w:szCs w:val="22"/>
        </w:rPr>
        <w:t>El Subdirector de Gestión Normativa y Doctrina (E),</w:t>
      </w:r>
    </w:p>
    <w:p w:rsidR="00BE56D5" w:rsidRPr="00BE56D5" w:rsidRDefault="00BE56D5" w:rsidP="00BE56D5">
      <w:pPr>
        <w:spacing w:line="240" w:lineRule="auto"/>
        <w:rPr>
          <w:rFonts w:ascii="Arial" w:eastAsia="Times New Roman" w:hAnsi="Arial" w:cs="Arial"/>
          <w:color w:val="000000"/>
          <w:sz w:val="18"/>
          <w:szCs w:val="18"/>
          <w:lang w:eastAsia="es-CO"/>
        </w:rPr>
      </w:pPr>
      <w:r w:rsidRPr="00BE56D5">
        <w:rPr>
          <w:rFonts w:ascii="Segoe UI" w:eastAsia="Times New Roman" w:hAnsi="Segoe UI" w:cs="Segoe UI"/>
          <w:b/>
          <w:bCs/>
          <w:i/>
          <w:iCs/>
          <w:color w:val="000000"/>
          <w:sz w:val="22"/>
          <w:lang w:eastAsia="es-CO"/>
        </w:rPr>
        <w:t> </w:t>
      </w:r>
    </w:p>
    <w:p w:rsidR="00BE56D5" w:rsidRPr="00BE56D5" w:rsidRDefault="00BE56D5" w:rsidP="00BE56D5">
      <w:pPr>
        <w:spacing w:line="240" w:lineRule="auto"/>
        <w:rPr>
          <w:rFonts w:ascii="Arial" w:eastAsia="Times New Roman" w:hAnsi="Arial" w:cs="Arial"/>
          <w:color w:val="000000"/>
          <w:sz w:val="18"/>
          <w:szCs w:val="18"/>
          <w:lang w:eastAsia="es-CO"/>
        </w:rPr>
      </w:pPr>
      <w:r w:rsidRPr="00BE56D5">
        <w:rPr>
          <w:rFonts w:ascii="Segoe UI" w:eastAsia="Times New Roman" w:hAnsi="Segoe UI" w:cs="Segoe UI"/>
          <w:i/>
          <w:iCs/>
          <w:color w:val="000000"/>
          <w:sz w:val="22"/>
          <w:lang w:eastAsia="es-CO"/>
        </w:rPr>
        <w:t xml:space="preserve">Lorenzo Castillo </w:t>
      </w:r>
      <w:proofErr w:type="spellStart"/>
      <w:r w:rsidRPr="00BE56D5">
        <w:rPr>
          <w:rFonts w:ascii="Segoe UI" w:eastAsia="Times New Roman" w:hAnsi="Segoe UI" w:cs="Segoe UI"/>
          <w:i/>
          <w:iCs/>
          <w:color w:val="000000"/>
          <w:sz w:val="22"/>
          <w:lang w:eastAsia="es-CO"/>
        </w:rPr>
        <w:t>Barvo</w:t>
      </w:r>
      <w:proofErr w:type="spellEnd"/>
      <w:r w:rsidRPr="00BE56D5">
        <w:rPr>
          <w:rFonts w:ascii="Segoe UI" w:eastAsia="Times New Roman" w:hAnsi="Segoe UI" w:cs="Segoe UI"/>
          <w:i/>
          <w:iCs/>
          <w:color w:val="000000"/>
          <w:sz w:val="22"/>
          <w:lang w:eastAsia="es-CO"/>
        </w:rPr>
        <w:t>,</w:t>
      </w:r>
    </w:p>
    <w:p w:rsidR="00BE56D5" w:rsidRPr="00BE56D5" w:rsidRDefault="00BE56D5" w:rsidP="00BE56D5">
      <w:pPr>
        <w:spacing w:line="240" w:lineRule="auto"/>
        <w:rPr>
          <w:rFonts w:ascii="Arial" w:eastAsia="Times New Roman" w:hAnsi="Arial" w:cs="Arial"/>
          <w:color w:val="000000"/>
          <w:sz w:val="18"/>
          <w:szCs w:val="18"/>
          <w:lang w:eastAsia="es-CO"/>
        </w:rPr>
      </w:pPr>
      <w:r w:rsidRPr="00BE56D5">
        <w:rPr>
          <w:rFonts w:ascii="Segoe UI" w:eastAsia="Times New Roman" w:hAnsi="Segoe UI" w:cs="Segoe UI"/>
          <w:color w:val="000000"/>
          <w:sz w:val="22"/>
          <w:lang w:eastAsia="es-CO"/>
        </w:rPr>
        <w:t>Subdirección de Gestión Normativa y Doctrina (E)</w:t>
      </w:r>
    </w:p>
    <w:p w:rsidR="00BE56D5" w:rsidRPr="00BE56D5" w:rsidRDefault="00BE56D5" w:rsidP="00BE56D5">
      <w:pPr>
        <w:spacing w:line="240" w:lineRule="auto"/>
        <w:rPr>
          <w:rFonts w:ascii="Arial" w:eastAsia="Times New Roman" w:hAnsi="Arial" w:cs="Arial"/>
          <w:color w:val="000000"/>
          <w:sz w:val="18"/>
          <w:szCs w:val="18"/>
          <w:lang w:eastAsia="es-CO"/>
        </w:rPr>
      </w:pPr>
      <w:r w:rsidRPr="00BE56D5">
        <w:rPr>
          <w:rFonts w:ascii="Segoe UI" w:eastAsia="Times New Roman" w:hAnsi="Segoe UI" w:cs="Segoe UI"/>
          <w:color w:val="000000"/>
          <w:sz w:val="22"/>
          <w:lang w:eastAsia="es-CO"/>
        </w:rPr>
        <w:t>Dirección de Gestión Jurídica.</w:t>
      </w:r>
    </w:p>
    <w:p w:rsidR="00BE56D5" w:rsidRPr="00BE56D5" w:rsidRDefault="00BE56D5" w:rsidP="00BE56D5">
      <w:pPr>
        <w:spacing w:line="240" w:lineRule="auto"/>
        <w:rPr>
          <w:rFonts w:ascii="Arial" w:eastAsia="Times New Roman" w:hAnsi="Arial" w:cs="Arial"/>
          <w:color w:val="000000"/>
          <w:sz w:val="18"/>
          <w:szCs w:val="18"/>
          <w:lang w:eastAsia="es-CO"/>
        </w:rPr>
      </w:pPr>
      <w:r w:rsidRPr="00BE56D5">
        <w:rPr>
          <w:rFonts w:ascii="Segoe UI" w:eastAsia="Times New Roman" w:hAnsi="Segoe UI" w:cs="Segoe UI"/>
          <w:color w:val="000000"/>
          <w:sz w:val="18"/>
          <w:szCs w:val="18"/>
          <w:lang w:eastAsia="es-CO"/>
        </w:rPr>
        <w:t>UAE-Dirección de Impuestos y Aduanas Nacionales</w:t>
      </w:r>
    </w:p>
    <w:p w:rsidR="00BE56D5" w:rsidRPr="00BE56D5" w:rsidRDefault="00BE56D5" w:rsidP="00BE56D5">
      <w:pPr>
        <w:spacing w:line="240" w:lineRule="auto"/>
        <w:rPr>
          <w:rFonts w:ascii="Arial" w:eastAsia="Times New Roman" w:hAnsi="Arial" w:cs="Arial"/>
          <w:color w:val="000000"/>
          <w:sz w:val="18"/>
          <w:szCs w:val="18"/>
          <w:lang w:eastAsia="es-CO"/>
        </w:rPr>
      </w:pPr>
      <w:r w:rsidRPr="00BE56D5">
        <w:rPr>
          <w:rFonts w:ascii="Segoe UI" w:eastAsia="Times New Roman" w:hAnsi="Segoe UI" w:cs="Segoe UI"/>
          <w:color w:val="000000"/>
          <w:sz w:val="18"/>
          <w:szCs w:val="18"/>
          <w:lang w:eastAsia="es-CO"/>
        </w:rPr>
        <w:t> </w:t>
      </w:r>
    </w:p>
    <w:p w:rsidR="00730617" w:rsidRDefault="00BE56D5">
      <w:r>
        <w:rPr>
          <w:rFonts w:ascii="Segoe UI" w:hAnsi="Segoe UI" w:cs="Segoe UI"/>
          <w:b/>
          <w:bCs/>
          <w:color w:val="000000"/>
          <w:sz w:val="20"/>
          <w:szCs w:val="20"/>
          <w:shd w:val="clear" w:color="auto" w:fill="FFFFFF"/>
        </w:rPr>
        <w:t>Publicado en D.O. 50.990 del 20 de junio de 2019.</w:t>
      </w:r>
    </w:p>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6D5"/>
    <w:rsid w:val="00730617"/>
    <w:rsid w:val="00A45230"/>
    <w:rsid w:val="00BE56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0D1D"/>
  <w15:chartTrackingRefBased/>
  <w15:docId w15:val="{EF36DBAD-9C3F-45A3-90F0-02894109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6">
    <w:name w:val="pa6"/>
    <w:basedOn w:val="Normal"/>
    <w:rsid w:val="00BE56D5"/>
    <w:pPr>
      <w:spacing w:before="100" w:beforeAutospacing="1" w:after="100" w:afterAutospacing="1" w:line="240" w:lineRule="auto"/>
      <w:jc w:val="left"/>
    </w:pPr>
    <w:rPr>
      <w:rFonts w:eastAsia="Times New Roman" w:cs="Times New Roman"/>
      <w:szCs w:val="24"/>
      <w:lang w:eastAsia="es-CO"/>
    </w:rPr>
  </w:style>
  <w:style w:type="paragraph" w:customStyle="1" w:styleId="pa18">
    <w:name w:val="pa18"/>
    <w:basedOn w:val="Normal"/>
    <w:rsid w:val="00BE56D5"/>
    <w:pPr>
      <w:spacing w:before="100" w:beforeAutospacing="1" w:after="100" w:afterAutospacing="1" w:line="240" w:lineRule="auto"/>
      <w:jc w:val="left"/>
    </w:pPr>
    <w:rPr>
      <w:rFonts w:eastAsia="Times New Roman" w:cs="Times New Roman"/>
      <w:szCs w:val="24"/>
      <w:lang w:eastAsia="es-CO"/>
    </w:rPr>
  </w:style>
  <w:style w:type="paragraph" w:customStyle="1" w:styleId="pa19">
    <w:name w:val="pa19"/>
    <w:basedOn w:val="Normal"/>
    <w:rsid w:val="00BE56D5"/>
    <w:pPr>
      <w:spacing w:before="100" w:beforeAutospacing="1" w:after="100" w:afterAutospacing="1" w:line="240" w:lineRule="auto"/>
      <w:jc w:val="left"/>
    </w:pPr>
    <w:rPr>
      <w:rFonts w:eastAsia="Times New Roman" w:cs="Times New Roman"/>
      <w:szCs w:val="24"/>
      <w:lang w:eastAsia="es-CO"/>
    </w:rPr>
  </w:style>
  <w:style w:type="character" w:styleId="Hipervnculo">
    <w:name w:val="Hyperlink"/>
    <w:basedOn w:val="Fuentedeprrafopredeter"/>
    <w:uiPriority w:val="99"/>
    <w:semiHidden/>
    <w:unhideWhenUsed/>
    <w:rsid w:val="00BE56D5"/>
    <w:rPr>
      <w:color w:val="0000FF"/>
      <w:u w:val="single"/>
    </w:rPr>
  </w:style>
  <w:style w:type="paragraph" w:customStyle="1" w:styleId="pa7">
    <w:name w:val="pa7"/>
    <w:basedOn w:val="Normal"/>
    <w:rsid w:val="00BE56D5"/>
    <w:pPr>
      <w:spacing w:before="100" w:beforeAutospacing="1" w:after="100" w:afterAutospacing="1" w:line="240" w:lineRule="auto"/>
      <w:jc w:val="left"/>
    </w:pPr>
    <w:rPr>
      <w:rFonts w:eastAsia="Times New Roman" w:cs="Times New Roman"/>
      <w:szCs w:val="24"/>
      <w:lang w:eastAsia="es-CO"/>
    </w:rPr>
  </w:style>
  <w:style w:type="character" w:customStyle="1" w:styleId="a15">
    <w:name w:val="a15"/>
    <w:basedOn w:val="Fuentedeprrafopredeter"/>
    <w:rsid w:val="00BE5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116253">
      <w:bodyDiv w:val="1"/>
      <w:marLeft w:val="0"/>
      <w:marRight w:val="0"/>
      <w:marTop w:val="0"/>
      <w:marBottom w:val="0"/>
      <w:divBdr>
        <w:top w:val="none" w:sz="0" w:space="0" w:color="auto"/>
        <w:left w:val="none" w:sz="0" w:space="0" w:color="auto"/>
        <w:bottom w:val="none" w:sz="0" w:space="0" w:color="auto"/>
        <w:right w:val="none" w:sz="0" w:space="0" w:color="auto"/>
      </w:divBdr>
    </w:div>
    <w:div w:id="382485184">
      <w:bodyDiv w:val="1"/>
      <w:marLeft w:val="0"/>
      <w:marRight w:val="0"/>
      <w:marTop w:val="0"/>
      <w:marBottom w:val="0"/>
      <w:divBdr>
        <w:top w:val="none" w:sz="0" w:space="0" w:color="auto"/>
        <w:left w:val="none" w:sz="0" w:space="0" w:color="auto"/>
        <w:bottom w:val="none" w:sz="0" w:space="0" w:color="auto"/>
        <w:right w:val="none" w:sz="0" w:space="0" w:color="auto"/>
      </w:divBdr>
    </w:div>
    <w:div w:id="1661810614">
      <w:bodyDiv w:val="1"/>
      <w:marLeft w:val="0"/>
      <w:marRight w:val="0"/>
      <w:marTop w:val="0"/>
      <w:marBottom w:val="0"/>
      <w:divBdr>
        <w:top w:val="none" w:sz="0" w:space="0" w:color="auto"/>
        <w:left w:val="none" w:sz="0" w:space="0" w:color="auto"/>
        <w:bottom w:val="none" w:sz="0" w:space="0" w:color="auto"/>
        <w:right w:val="none" w:sz="0" w:space="0" w:color="auto"/>
      </w:divBdr>
    </w:div>
    <w:div w:id="1824662221">
      <w:bodyDiv w:val="1"/>
      <w:marLeft w:val="0"/>
      <w:marRight w:val="0"/>
      <w:marTop w:val="0"/>
      <w:marBottom w:val="0"/>
      <w:divBdr>
        <w:top w:val="none" w:sz="0" w:space="0" w:color="auto"/>
        <w:left w:val="none" w:sz="0" w:space="0" w:color="auto"/>
        <w:bottom w:val="none" w:sz="0" w:space="0" w:color="auto"/>
        <w:right w:val="none" w:sz="0" w:space="0" w:color="auto"/>
      </w:divBdr>
    </w:div>
    <w:div w:id="187087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ta.org.co/html/vista_de_un_articulo.asp?Norma=60483" TargetMode="External"/><Relationship Id="rId4" Type="http://schemas.openxmlformats.org/officeDocument/2006/relationships/hyperlink" Target="https://www.ceta.org.co/html/vista_de_un_articulo.asp?Norma=604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603</Words>
  <Characters>3319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2019-06-28T13:00:00Z</dcterms:created>
  <dcterms:modified xsi:type="dcterms:W3CDTF">2019-06-28T13:04:00Z</dcterms:modified>
</cp:coreProperties>
</file>