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3928E2" w:rsidRDefault="00C10F28" w:rsidP="00C10F28">
      <w:pPr>
        <w:shd w:val="clear" w:color="auto" w:fill="FFFFFF"/>
        <w:spacing w:line="240" w:lineRule="auto"/>
        <w:rPr>
          <w:rFonts w:cs="Times New Roman"/>
          <w:szCs w:val="24"/>
          <w:shd w:val="clear" w:color="auto" w:fill="FFFFFF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OFICIO Nº 1400 [014495]</w:t>
      </w:r>
    </w:p>
    <w:p w:rsidR="00C10F28" w:rsidRPr="00C10F28" w:rsidRDefault="00C10F28" w:rsidP="00C10F28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06-06-2019</w:t>
      </w:r>
    </w:p>
    <w:p w:rsidR="00C10F28" w:rsidRPr="00C10F28" w:rsidRDefault="00C10F28" w:rsidP="00C10F28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 </w:t>
      </w:r>
      <w:bookmarkStart w:id="0" w:name="_GoBack"/>
      <w:bookmarkEnd w:id="0"/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100208221 – 001400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Bogotá, D.C.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C10F28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C10F28">
        <w:rPr>
          <w:rFonts w:eastAsia="Times New Roman" w:cs="Times New Roman"/>
          <w:b/>
          <w:bCs/>
          <w:szCs w:val="24"/>
          <w:lang w:eastAsia="es-CO"/>
        </w:rPr>
        <w:t>: </w:t>
      </w:r>
      <w:r w:rsidRPr="00C10F28">
        <w:rPr>
          <w:rFonts w:eastAsia="Times New Roman" w:cs="Times New Roman"/>
          <w:szCs w:val="24"/>
          <w:lang w:eastAsia="es-CO"/>
        </w:rPr>
        <w:t>Radicado 014234 del 02/05/2019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76"/>
        <w:gridCol w:w="276"/>
        <w:gridCol w:w="4489"/>
      </w:tblGrid>
      <w:tr w:rsidR="003928E2" w:rsidRPr="00C10F28" w:rsidTr="00C10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szCs w:val="24"/>
                <w:lang w:eastAsia="es-CO"/>
              </w:rPr>
              <w:t>Impuesto sobre la Renta y Complementarios</w:t>
            </w:r>
          </w:p>
        </w:tc>
      </w:tr>
      <w:tr w:rsidR="003928E2" w:rsidRPr="00C10F28" w:rsidTr="00C10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szCs w:val="24"/>
                <w:lang w:eastAsia="es-CO"/>
              </w:rPr>
              <w:t>CAPITALIZACIONES.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szCs w:val="24"/>
                <w:lang w:eastAsia="es-CO"/>
              </w:rPr>
              <w:t>Dividendos</w:t>
            </w:r>
          </w:p>
        </w:tc>
      </w:tr>
      <w:tr w:rsidR="003928E2" w:rsidRPr="00C10F28" w:rsidTr="00C10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C10F28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4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30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5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36-3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6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48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7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49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8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242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9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242-1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:rsidR="00C10F28" w:rsidRPr="00C10F28" w:rsidRDefault="00C10F28" w:rsidP="00C10F28">
            <w:pPr>
              <w:spacing w:line="240" w:lineRule="auto"/>
              <w:rPr>
                <w:rFonts w:eastAsia="Times New Roman" w:cs="Times New Roman"/>
                <w:szCs w:val="24"/>
                <w:lang w:eastAsia="es-CO"/>
              </w:rPr>
            </w:pPr>
            <w:hyperlink r:id="rId10" w:tooltip="Estatuto Tributario CETA" w:history="1">
              <w:r w:rsidRPr="00C10F28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Artículo 245</w:t>
              </w:r>
            </w:hyperlink>
            <w:r w:rsidRPr="00C10F28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</w:tc>
      </w:tr>
    </w:tbl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Estimado señor José Manuel: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Con el objetivo de proveer mayor claridad respecto a lo establecido por este Despacho en el Concepto No. 001171 del 16 de enero de 2019, por medio del cual se dio respuesta a la consulta radicada bajo el número 100080132 del 04 de diciembre de 2018, este despacho procede a aclarar el tema de la referencia: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1. El </w:t>
      </w:r>
      <w:hyperlink r:id="rId11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artículo 36-3</w:t>
        </w:r>
      </w:hyperlink>
      <w:r w:rsidRPr="00C10F28">
        <w:rPr>
          <w:rFonts w:eastAsia="Times New Roman" w:cs="Times New Roman"/>
          <w:szCs w:val="24"/>
          <w:lang w:eastAsia="es-CO"/>
        </w:rPr>
        <w:t> del Estatuto Tributario (“</w:t>
      </w:r>
      <w:r w:rsidRPr="00C10F28">
        <w:rPr>
          <w:rFonts w:eastAsia="Times New Roman" w:cs="Times New Roman"/>
          <w:szCs w:val="24"/>
          <w:u w:val="single"/>
          <w:lang w:eastAsia="es-CO"/>
        </w:rPr>
        <w:t>E.T.</w:t>
      </w:r>
      <w:r w:rsidRPr="00C10F28">
        <w:rPr>
          <w:rFonts w:eastAsia="Times New Roman" w:cs="Times New Roman"/>
          <w:szCs w:val="24"/>
          <w:lang w:eastAsia="es-CO"/>
        </w:rPr>
        <w:t>”) reconoce como ingresos no constitutivos de renta ni ganancia ocasional, aquellos correspondientes a la distribución de utilidades en acciones o cuotas de interés social y el traslado a la cuenta de capital producto de la capitalización a la cuenta de revalorización de patrimonio, siempre y cuando las utilidades susceptibles de ser distribuidas a tal título (Ingreso no constitutivo de renta ni ganancia ocasional) sean determinadas según el procedimiento señalado en los artículos </w:t>
      </w:r>
      <w:hyperlink r:id="rId12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48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13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49</w:t>
        </w:r>
      </w:hyperlink>
      <w:r w:rsidRPr="00C10F28">
        <w:rPr>
          <w:rFonts w:eastAsia="Times New Roman" w:cs="Times New Roman"/>
          <w:szCs w:val="24"/>
          <w:lang w:eastAsia="es-CO"/>
        </w:rPr>
        <w:t> 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2. De modo contrario, las utilidades susceptibles de ser distribuidas en acciones o cuotas de interés social que sean reconocidas como utilidades gravadas en los términos de los artículos </w:t>
      </w:r>
      <w:hyperlink r:id="rId14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48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15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49</w:t>
        </w:r>
      </w:hyperlink>
      <w:r w:rsidRPr="00C10F28">
        <w:rPr>
          <w:rFonts w:eastAsia="Times New Roman" w:cs="Times New Roman"/>
          <w:szCs w:val="24"/>
          <w:lang w:eastAsia="es-CO"/>
        </w:rPr>
        <w:t> del E.T. serán ingresos gravados con el impuesto sobre la renta y complementarios en los términos 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lastRenderedPageBreak/>
        <w:t>3. Contrario a la conclusión llegada en su escrito, el adverbio “tampoco” se refiere a que, para las sociedades listadas en bolsa, la distribución de las utilidades que excedan del cálculo del artículo </w:t>
      </w:r>
      <w:hyperlink r:id="rId16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48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17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49</w:t>
        </w:r>
      </w:hyperlink>
      <w:r w:rsidRPr="00C10F28">
        <w:rPr>
          <w:rFonts w:eastAsia="Times New Roman" w:cs="Times New Roman"/>
          <w:szCs w:val="24"/>
          <w:lang w:eastAsia="es-CO"/>
        </w:rPr>
        <w:t> del E.T. </w:t>
      </w:r>
      <w:r w:rsidRPr="00C10F28">
        <w:rPr>
          <w:rFonts w:eastAsia="Times New Roman" w:cs="Times New Roman"/>
          <w:b/>
          <w:bCs/>
          <w:i/>
          <w:iCs/>
          <w:szCs w:val="24"/>
          <w:u w:val="single"/>
          <w:lang w:eastAsia="es-CO"/>
        </w:rPr>
        <w:t>tampoco</w:t>
      </w:r>
      <w:r w:rsidRPr="00C10F28">
        <w:rPr>
          <w:rFonts w:eastAsia="Times New Roman" w:cs="Times New Roman"/>
          <w:szCs w:val="24"/>
          <w:lang w:eastAsia="es-CO"/>
        </w:rPr>
        <w:t xml:space="preserve"> constituyen renta ni ganancia ocasional, al igual que las que no excedan de dicho cálculo. </w:t>
      </w:r>
      <w:r w:rsidRPr="00C10F28">
        <w:rPr>
          <w:rFonts w:eastAsia="Times New Roman" w:cs="Times New Roman"/>
          <w:szCs w:val="24"/>
          <w:highlight w:val="green"/>
          <w:lang w:eastAsia="es-CO"/>
        </w:rPr>
        <w:t>Por ende, no es posible extender el tratamiento de la segunda oración del </w:t>
      </w:r>
      <w:hyperlink r:id="rId18" w:tooltip="Estatuto Tributario CETA" w:history="1">
        <w:r w:rsidRPr="00C10F28">
          <w:rPr>
            <w:rFonts w:eastAsia="Times New Roman" w:cs="Times New Roman"/>
            <w:szCs w:val="24"/>
            <w:highlight w:val="green"/>
            <w:u w:val="single"/>
            <w:lang w:eastAsia="es-CO"/>
          </w:rPr>
          <w:t>artículo 36-3</w:t>
        </w:r>
      </w:hyperlink>
      <w:r w:rsidRPr="00C10F28">
        <w:rPr>
          <w:rFonts w:eastAsia="Times New Roman" w:cs="Times New Roman"/>
          <w:szCs w:val="24"/>
          <w:highlight w:val="green"/>
          <w:lang w:eastAsia="es-CO"/>
        </w:rPr>
        <w:t> del E.T. a todas las sociedades, ya que es evidente que dicha oración es exclusiva para las sociedades listadas en bolsa; si fuera aplicable para todas, el legislador no hubiera hecho una distinción tan clara entre estos dos tipos de sociedades.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4. Por otro lado, es necesario resaltar que, a diferencia de lo señalado en los párrafos anteriores, los artículos </w:t>
      </w:r>
      <w:hyperlink r:id="rId19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lang w:eastAsia="es-CO"/>
        </w:rPr>
        <w:t>, </w:t>
      </w:r>
      <w:hyperlink r:id="rId20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21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lang w:eastAsia="es-CO"/>
        </w:rPr>
        <w:t> del E.T. establecen tarifas especiales para los dividendos y participaciones que sean recibidos por personas naturales residentes, sociedades nacionales, sociedades y entidades extranjeras y por personas naturales no residentes, </w:t>
      </w:r>
      <w:r w:rsidRPr="00C10F28">
        <w:rPr>
          <w:rFonts w:eastAsia="Times New Roman" w:cs="Times New Roman"/>
          <w:szCs w:val="24"/>
          <w:u w:val="single"/>
          <w:lang w:eastAsia="es-CO"/>
        </w:rPr>
        <w:t>como ingresos no constitutivos de renta ni ganancia ocasional en los términos de los artículos </w:t>
      </w:r>
      <w:hyperlink r:id="rId22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48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y </w:t>
      </w:r>
      <w:hyperlink r:id="rId23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49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5. En esta medida, es posible reconocer que las tarifas especiales para dividendos de los artículos </w:t>
      </w:r>
      <w:hyperlink r:id="rId24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lang w:eastAsia="es-CO"/>
        </w:rPr>
        <w:t>, </w:t>
      </w:r>
      <w:hyperlink r:id="rId25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26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lang w:eastAsia="es-CO"/>
        </w:rPr>
        <w:t> del E.T., </w:t>
      </w:r>
      <w:r w:rsidRPr="00C10F28">
        <w:rPr>
          <w:rFonts w:eastAsia="Times New Roman" w:cs="Times New Roman"/>
          <w:szCs w:val="24"/>
          <w:u w:val="single"/>
          <w:lang w:eastAsia="es-CO"/>
        </w:rPr>
        <w:t>aplican sobre los ingresos no constitutivos de renta ni ganancia ocasional, tal como lo son los incluidos en el </w:t>
      </w:r>
      <w:hyperlink r:id="rId27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artículo 36-3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6. Las tarifas especiales para dividendos establecidas en los artículos </w:t>
      </w:r>
      <w:hyperlink r:id="rId28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lang w:eastAsia="es-CO"/>
        </w:rPr>
        <w:t>, </w:t>
      </w:r>
      <w:hyperlink r:id="rId29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30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lang w:eastAsia="es-CO"/>
        </w:rPr>
        <w:t> del E.T. suponen que los dividendos reconocidos como ingresos no constitutivos de renta ni ganancia ocasional en los términos del </w:t>
      </w:r>
      <w:hyperlink r:id="rId31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artículo 49</w:t>
        </w:r>
      </w:hyperlink>
      <w:r w:rsidRPr="00C10F28">
        <w:rPr>
          <w:rFonts w:eastAsia="Times New Roman" w:cs="Times New Roman"/>
          <w:szCs w:val="24"/>
          <w:lang w:eastAsia="es-CO"/>
        </w:rPr>
        <w:t> del E.T., serán gravados con una tarifa especial, según la naturaleza del beneficiario del dividendo, lo cual será recaudado en su totalidad a través del mecanismo de retención en la fuente.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7. Teniendo en cuenta que la consulta de la referencia corresponde a la distribución de utilidades en acciones o cuotas de interés social, consideramos necesario analizar por qué la distribución de utilidades en acciones o cuotas de interés social es considerada como un dividendo al cual le aplica lo establecido en los artículos </w:t>
      </w:r>
      <w:hyperlink r:id="rId32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lang w:eastAsia="es-CO"/>
        </w:rPr>
        <w:t>, </w:t>
      </w:r>
      <w:hyperlink r:id="rId33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34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lang w:eastAsia="es-CO"/>
        </w:rPr>
        <w:t> 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8. El </w:t>
      </w:r>
      <w:hyperlink r:id="rId35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artículo 30</w:t>
        </w:r>
      </w:hyperlink>
      <w:r w:rsidRPr="00C10F28">
        <w:rPr>
          <w:rFonts w:eastAsia="Times New Roman" w:cs="Times New Roman"/>
          <w:szCs w:val="24"/>
          <w:lang w:eastAsia="es-CO"/>
        </w:rPr>
        <w:t> del E.T. reconoce la definición de dividendos y participaciones para efectos fiscales como: </w:t>
      </w:r>
      <w:r w:rsidRPr="00C10F28">
        <w:rPr>
          <w:rFonts w:eastAsia="Times New Roman" w:cs="Times New Roman"/>
          <w:i/>
          <w:iCs/>
          <w:szCs w:val="24"/>
          <w:lang w:eastAsia="es-CO"/>
        </w:rPr>
        <w:t xml:space="preserve">“Toda distribución de beneficios, </w:t>
      </w:r>
      <w:r w:rsidRPr="00C10F28">
        <w:rPr>
          <w:rFonts w:eastAsia="Times New Roman" w:cs="Times New Roman"/>
          <w:b/>
          <w:i/>
          <w:iCs/>
          <w:szCs w:val="24"/>
          <w:lang w:eastAsia="es-CO"/>
        </w:rPr>
        <w:t>en dinero o </w:t>
      </w:r>
      <w:r w:rsidRPr="00C10F28">
        <w:rPr>
          <w:rFonts w:eastAsia="Times New Roman" w:cs="Times New Roman"/>
          <w:b/>
          <w:i/>
          <w:iCs/>
          <w:szCs w:val="24"/>
          <w:u w:val="single"/>
          <w:lang w:eastAsia="es-CO"/>
        </w:rPr>
        <w:t>en especie</w:t>
      </w:r>
      <w:r w:rsidRPr="00C10F28">
        <w:rPr>
          <w:rFonts w:eastAsia="Times New Roman" w:cs="Times New Roman"/>
          <w:i/>
          <w:iCs/>
          <w:szCs w:val="24"/>
          <w:lang w:eastAsia="es-CO"/>
        </w:rPr>
        <w:t>, con cargo a patrimonio que se realice a los socios, accionistas, comuneros, asociados, suscriptores o similares, excepto la disminución de capital y la prima en colocación de acciones.”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9. Por lo anterior, la distribución de utilidades en acciones o cuotas de interés social, encuadra dentro de la definición de dividendos y participaciones del </w:t>
      </w:r>
      <w:hyperlink r:id="rId36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artículo 30</w:t>
        </w:r>
      </w:hyperlink>
      <w:r w:rsidRPr="00C10F28">
        <w:rPr>
          <w:rFonts w:eastAsia="Times New Roman" w:cs="Times New Roman"/>
          <w:szCs w:val="24"/>
          <w:lang w:eastAsia="es-CO"/>
        </w:rPr>
        <w:t> del E.T., ya que estas corresponden a la distribución de un beneficio en especie con cargo a una cuenta del patrimonio, es decir la de capital, que se realiza a favor de los socios accionistas, comuneros, asociados, suscriptores o similares, que no está incluido en las excepciones previstas en la norma.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10. En este sentido, las tarifas especiales establecidas en los artículos </w:t>
      </w:r>
      <w:hyperlink r:id="rId37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lang w:eastAsia="es-CO"/>
        </w:rPr>
        <w:t>, </w:t>
      </w:r>
      <w:hyperlink r:id="rId38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lang w:eastAsia="es-CO"/>
        </w:rPr>
        <w:t> y </w:t>
      </w:r>
      <w:hyperlink r:id="rId39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lang w:eastAsia="es-CO"/>
        </w:rPr>
        <w:t> del E.T. son aplicables a los dividendos y participaciones dentro de los cuales se encuentran la distribución de utilidades en acciones o cuotas de interés social así estos sean reconocidos como ingresos no constitutivos de renta ni ganancia ocasional.</w:t>
      </w:r>
    </w:p>
    <w:p w:rsidR="003928E2" w:rsidRPr="003928E2" w:rsidRDefault="003928E2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lastRenderedPageBreak/>
        <w:t>11. Como consecuencia de lo anterior, </w:t>
      </w:r>
      <w:r w:rsidRPr="00C10F28">
        <w:rPr>
          <w:rFonts w:eastAsia="Times New Roman" w:cs="Times New Roman"/>
          <w:szCs w:val="24"/>
          <w:u w:val="single"/>
          <w:lang w:eastAsia="es-CO"/>
        </w:rPr>
        <w:t>este despacho aclara que la distribución de utilidades en acciones o cuotas de interés social, reconocidas como ingreso no constitutivo de renta ni ganancia ocasional, les es aplicable la tarifa especial de dividendos y participaciones establecida en los artículos </w:t>
      </w:r>
      <w:hyperlink r:id="rId40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, </w:t>
      </w:r>
      <w:hyperlink r:id="rId41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y </w:t>
      </w:r>
      <w:hyperlink r:id="rId42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del E.T.</w:t>
      </w:r>
    </w:p>
    <w:p w:rsidR="003928E2" w:rsidRPr="003928E2" w:rsidRDefault="003928E2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12. En la medida que la tarifa especial de dividendos o participaciones es recaudada a través del mecanismo de retención en la fuente, </w:t>
      </w:r>
      <w:r w:rsidRPr="00C10F28">
        <w:rPr>
          <w:rFonts w:eastAsia="Times New Roman" w:cs="Times New Roman"/>
          <w:szCs w:val="24"/>
          <w:u w:val="single"/>
          <w:lang w:eastAsia="es-CO"/>
        </w:rPr>
        <w:t>consideramos que la distribución de utilidades en acciones o cuotas de interés social, reconocidas como ingreso no constitutivo de renta ni ganancia ocasional, estarán sujetas a dicha retención en la fuente en los términos de los artículos </w:t>
      </w:r>
      <w:hyperlink r:id="rId43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, </w:t>
      </w:r>
      <w:hyperlink r:id="rId44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242-1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y </w:t>
      </w:r>
      <w:hyperlink r:id="rId45" w:tooltip="Estatuto Tributario CETA" w:history="1">
        <w:r w:rsidRPr="00C10F28">
          <w:rPr>
            <w:rFonts w:eastAsia="Times New Roman" w:cs="Times New Roman"/>
            <w:szCs w:val="24"/>
            <w:u w:val="single"/>
            <w:lang w:eastAsia="es-CO"/>
          </w:rPr>
          <w:t>245</w:t>
        </w:r>
      </w:hyperlink>
      <w:r w:rsidRPr="00C10F28">
        <w:rPr>
          <w:rFonts w:eastAsia="Times New Roman" w:cs="Times New Roman"/>
          <w:szCs w:val="24"/>
          <w:u w:val="single"/>
          <w:lang w:eastAsia="es-CO"/>
        </w:rPr>
        <w:t> del E.T.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cs="Times New Roman"/>
          <w:szCs w:val="24"/>
          <w:shd w:val="clear" w:color="auto" w:fill="FFFFFF"/>
        </w:rPr>
      </w:pPr>
    </w:p>
    <w:p w:rsidR="00C10F28" w:rsidRPr="003928E2" w:rsidRDefault="00C10F28" w:rsidP="00C10F28">
      <w:pPr>
        <w:shd w:val="clear" w:color="auto" w:fill="FFFFFF"/>
        <w:spacing w:line="240" w:lineRule="auto"/>
        <w:rPr>
          <w:rFonts w:cs="Times New Roman"/>
          <w:szCs w:val="24"/>
        </w:rPr>
      </w:pPr>
      <w:r w:rsidRPr="003928E2">
        <w:rPr>
          <w:rFonts w:cs="Times New Roman"/>
          <w:szCs w:val="24"/>
          <w:shd w:val="clear" w:color="auto" w:fill="FFFFFF"/>
        </w:rPr>
        <w:t>En los anteriores términos se aclara la consulta de la referencia, y cordialmente le informamos que tanto la normatividad en materia tributaria, aduanera y cambiaria, como los conceptos emitidos por la Dirección de Gestión Jurídica en estas materias pueden consultarse directamente en nuestra base de datos jurídica ingresando a la página electrónica de </w:t>
      </w:r>
      <w:r w:rsidRPr="003928E2">
        <w:rPr>
          <w:rFonts w:cs="Times New Roman"/>
          <w:szCs w:val="24"/>
        </w:rPr>
        <w:t>la DIAN: </w:t>
      </w:r>
      <w:hyperlink r:id="rId46" w:history="1">
        <w:r w:rsidRPr="003928E2">
          <w:rPr>
            <w:rStyle w:val="Hipervnculo"/>
            <w:rFonts w:cs="Times New Roman"/>
            <w:color w:val="auto"/>
            <w:szCs w:val="24"/>
          </w:rPr>
          <w:t>https://www.dian.gov.co</w:t>
        </w:r>
      </w:hyperlink>
      <w:r w:rsidRPr="003928E2">
        <w:rPr>
          <w:rFonts w:cs="Times New Roman"/>
          <w:szCs w:val="24"/>
        </w:rPr>
        <w:t> siguiendo íconos “Normatividad” – “Técnica” y seleccionando los vínculos “Doctrina” y “Dirección de Gestión Jurídica”</w:t>
      </w: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3928E2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Atentamente,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 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Dirección de Gestión Jurídica</w:t>
      </w:r>
    </w:p>
    <w:p w:rsidR="00C10F28" w:rsidRPr="00C10F28" w:rsidRDefault="00C10F28" w:rsidP="00C10F28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es-CO"/>
        </w:rPr>
      </w:pPr>
      <w:r w:rsidRPr="00C10F28">
        <w:rPr>
          <w:rFonts w:eastAsia="Times New Roman" w:cs="Times New Roman"/>
          <w:szCs w:val="24"/>
          <w:lang w:eastAsia="es-CO"/>
        </w:rPr>
        <w:t>UAE – Dirección de Impuestos y Aduanas Nacionales</w:t>
      </w:r>
    </w:p>
    <w:p w:rsidR="00730617" w:rsidRPr="003928E2" w:rsidRDefault="00730617">
      <w:pPr>
        <w:rPr>
          <w:rFonts w:cs="Times New Roman"/>
          <w:szCs w:val="24"/>
        </w:rPr>
      </w:pPr>
    </w:p>
    <w:sectPr w:rsidR="00730617" w:rsidRPr="003928E2" w:rsidSect="003928E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8"/>
    <w:rsid w:val="003928E2"/>
    <w:rsid w:val="00730617"/>
    <w:rsid w:val="00A45230"/>
    <w:rsid w:val="00C1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A28A"/>
  <w15:chartTrackingRefBased/>
  <w15:docId w15:val="{DA0C2C90-BB8B-4AC9-8540-0625E6E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313" TargetMode="External"/><Relationship Id="rId13" Type="http://schemas.openxmlformats.org/officeDocument/2006/relationships/hyperlink" Target="https://www.ceta.org.co/html/vista_de_un_articulo.asp?Norma=88" TargetMode="External"/><Relationship Id="rId18" Type="http://schemas.openxmlformats.org/officeDocument/2006/relationships/hyperlink" Target="https://www.ceta.org.co/html/vista_de_un_articulo.asp?Norma=70" TargetMode="External"/><Relationship Id="rId26" Type="http://schemas.openxmlformats.org/officeDocument/2006/relationships/hyperlink" Target="https://www.ceta.org.co/html/vista_de_un_articulo.asp?Norma=316" TargetMode="External"/><Relationship Id="rId39" Type="http://schemas.openxmlformats.org/officeDocument/2006/relationships/hyperlink" Target="https://www.ceta.org.co/html/vista_de_un_articulo.asp?Norma=3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ta.org.co/html/vista_de_un_articulo.asp?Norma=316" TargetMode="External"/><Relationship Id="rId34" Type="http://schemas.openxmlformats.org/officeDocument/2006/relationships/hyperlink" Target="https://www.ceta.org.co/html/vista_de_un_articulo.asp?Norma=316" TargetMode="External"/><Relationship Id="rId42" Type="http://schemas.openxmlformats.org/officeDocument/2006/relationships/hyperlink" Target="https://www.ceta.org.co/html/vista_de_un_articulo.asp?Norma=31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eta.org.co/html/vista_de_un_articulo.asp?Norma=88" TargetMode="External"/><Relationship Id="rId12" Type="http://schemas.openxmlformats.org/officeDocument/2006/relationships/hyperlink" Target="https://www.ceta.org.co/html/vista_de_un_articulo.asp?Norma=87" TargetMode="External"/><Relationship Id="rId17" Type="http://schemas.openxmlformats.org/officeDocument/2006/relationships/hyperlink" Target="https://www.ceta.org.co/html/vista_de_un_articulo.asp?Norma=88" TargetMode="External"/><Relationship Id="rId25" Type="http://schemas.openxmlformats.org/officeDocument/2006/relationships/hyperlink" Target="https://www.ceta.org.co/html/vista_de_un_articulo.asp?Norma=60481" TargetMode="External"/><Relationship Id="rId33" Type="http://schemas.openxmlformats.org/officeDocument/2006/relationships/hyperlink" Target="https://www.ceta.org.co/html/vista_de_un_articulo.asp?Norma=60481" TargetMode="External"/><Relationship Id="rId38" Type="http://schemas.openxmlformats.org/officeDocument/2006/relationships/hyperlink" Target="https://www.ceta.org.co/html/vista_de_un_articulo.asp?Norma=60481" TargetMode="External"/><Relationship Id="rId46" Type="http://schemas.openxmlformats.org/officeDocument/2006/relationships/hyperlink" Target="https://www.dian.gov.c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87" TargetMode="External"/><Relationship Id="rId20" Type="http://schemas.openxmlformats.org/officeDocument/2006/relationships/hyperlink" Target="https://www.ceta.org.co/html/vista_de_un_articulo.asp?Norma=60481" TargetMode="External"/><Relationship Id="rId29" Type="http://schemas.openxmlformats.org/officeDocument/2006/relationships/hyperlink" Target="https://www.ceta.org.co/html/vista_de_un_articulo.asp?Norma=60481" TargetMode="External"/><Relationship Id="rId41" Type="http://schemas.openxmlformats.org/officeDocument/2006/relationships/hyperlink" Target="https://www.ceta.org.co/html/vista_de_un_articulo.asp?Norma=604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87" TargetMode="External"/><Relationship Id="rId11" Type="http://schemas.openxmlformats.org/officeDocument/2006/relationships/hyperlink" Target="https://www.ceta.org.co/html/vista_de_un_articulo.asp?Norma=70" TargetMode="External"/><Relationship Id="rId24" Type="http://schemas.openxmlformats.org/officeDocument/2006/relationships/hyperlink" Target="https://www.ceta.org.co/html/vista_de_un_articulo.asp?Norma=313" TargetMode="External"/><Relationship Id="rId32" Type="http://schemas.openxmlformats.org/officeDocument/2006/relationships/hyperlink" Target="https://www.ceta.org.co/html/vista_de_un_articulo.asp?Norma=313" TargetMode="External"/><Relationship Id="rId37" Type="http://schemas.openxmlformats.org/officeDocument/2006/relationships/hyperlink" Target="https://www.ceta.org.co/html/vista_de_un_articulo.asp?Norma=313" TargetMode="External"/><Relationship Id="rId40" Type="http://schemas.openxmlformats.org/officeDocument/2006/relationships/hyperlink" Target="https://www.ceta.org.co/html/vista_de_un_articulo.asp?Norma=313" TargetMode="External"/><Relationship Id="rId45" Type="http://schemas.openxmlformats.org/officeDocument/2006/relationships/hyperlink" Target="https://www.ceta.org.co/html/vista_de_un_articulo.asp?Norma=316" TargetMode="External"/><Relationship Id="rId5" Type="http://schemas.openxmlformats.org/officeDocument/2006/relationships/hyperlink" Target="https://www.ceta.org.co/html/vista_de_un_articulo.asp?Norma=70" TargetMode="External"/><Relationship Id="rId15" Type="http://schemas.openxmlformats.org/officeDocument/2006/relationships/hyperlink" Target="https://www.ceta.org.co/html/vista_de_un_articulo.asp?Norma=88" TargetMode="External"/><Relationship Id="rId23" Type="http://schemas.openxmlformats.org/officeDocument/2006/relationships/hyperlink" Target="https://www.ceta.org.co/html/vista_de_un_articulo.asp?Norma=88" TargetMode="External"/><Relationship Id="rId28" Type="http://schemas.openxmlformats.org/officeDocument/2006/relationships/hyperlink" Target="https://www.ceta.org.co/html/vista_de_un_articulo.asp?Norma=313" TargetMode="External"/><Relationship Id="rId36" Type="http://schemas.openxmlformats.org/officeDocument/2006/relationships/hyperlink" Target="https://www.ceta.org.co/html/vista_de_un_articulo.asp?Norma=60" TargetMode="External"/><Relationship Id="rId10" Type="http://schemas.openxmlformats.org/officeDocument/2006/relationships/hyperlink" Target="https://www.ceta.org.co/html/vista_de_un_articulo.asp?Norma=316" TargetMode="External"/><Relationship Id="rId19" Type="http://schemas.openxmlformats.org/officeDocument/2006/relationships/hyperlink" Target="https://www.ceta.org.co/html/vista_de_un_articulo.asp?Norma=313" TargetMode="External"/><Relationship Id="rId31" Type="http://schemas.openxmlformats.org/officeDocument/2006/relationships/hyperlink" Target="https://www.ceta.org.co/html/vista_de_un_articulo.asp?Norma=88" TargetMode="External"/><Relationship Id="rId44" Type="http://schemas.openxmlformats.org/officeDocument/2006/relationships/hyperlink" Target="https://www.ceta.org.co/html/vista_de_un_articulo.asp?Norma=60481" TargetMode="External"/><Relationship Id="rId4" Type="http://schemas.openxmlformats.org/officeDocument/2006/relationships/hyperlink" Target="https://www.ceta.org.co/html/vista_de_un_articulo.asp?Norma=60" TargetMode="External"/><Relationship Id="rId9" Type="http://schemas.openxmlformats.org/officeDocument/2006/relationships/hyperlink" Target="https://www.ceta.org.co/html/vista_de_un_articulo.asp?Norma=60481" TargetMode="External"/><Relationship Id="rId14" Type="http://schemas.openxmlformats.org/officeDocument/2006/relationships/hyperlink" Target="https://www.ceta.org.co/html/vista_de_un_articulo.asp?Norma=87" TargetMode="External"/><Relationship Id="rId22" Type="http://schemas.openxmlformats.org/officeDocument/2006/relationships/hyperlink" Target="https://www.ceta.org.co/html/vista_de_un_articulo.asp?Norma=87" TargetMode="External"/><Relationship Id="rId27" Type="http://schemas.openxmlformats.org/officeDocument/2006/relationships/hyperlink" Target="https://www.ceta.org.co/html/vista_de_un_articulo.asp?Norma=70" TargetMode="External"/><Relationship Id="rId30" Type="http://schemas.openxmlformats.org/officeDocument/2006/relationships/hyperlink" Target="https://www.ceta.org.co/html/vista_de_un_articulo.asp?Norma=316" TargetMode="External"/><Relationship Id="rId35" Type="http://schemas.openxmlformats.org/officeDocument/2006/relationships/hyperlink" Target="https://www.ceta.org.co/html/vista_de_un_articulo.asp?Norma=60" TargetMode="External"/><Relationship Id="rId43" Type="http://schemas.openxmlformats.org/officeDocument/2006/relationships/hyperlink" Target="https://www.ceta.org.co/html/vista_de_un_articulo.asp?Norma=31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2019-07-26T00:27:00Z</dcterms:created>
  <dcterms:modified xsi:type="dcterms:W3CDTF">2019-07-26T00:41:00Z</dcterms:modified>
</cp:coreProperties>
</file>