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DE" w:rsidRPr="008C35DE" w:rsidRDefault="008C35DE" w:rsidP="008C35DE">
      <w:pPr>
        <w:shd w:val="clear" w:color="auto" w:fill="FFFFFF"/>
        <w:spacing w:line="240" w:lineRule="auto"/>
        <w:rPr>
          <w:rFonts w:eastAsia="Times New Roman" w:cs="Times New Roman"/>
          <w:szCs w:val="24"/>
          <w:lang w:eastAsia="es-CO"/>
        </w:rPr>
      </w:pPr>
    </w:p>
    <w:p w:rsidR="008C35DE" w:rsidRPr="008C35DE" w:rsidRDefault="008C35DE" w:rsidP="008C35DE">
      <w:pPr>
        <w:shd w:val="clear" w:color="auto" w:fill="FFFFFF"/>
        <w:spacing w:line="240" w:lineRule="auto"/>
        <w:rPr>
          <w:rFonts w:eastAsia="Times New Roman" w:cs="Times New Roman"/>
          <w:szCs w:val="24"/>
          <w:lang w:eastAsia="es-CO"/>
        </w:rPr>
      </w:pPr>
    </w:p>
    <w:p w:rsidR="008C35DE" w:rsidRPr="008C35DE" w:rsidRDefault="008C35DE" w:rsidP="008C35DE">
      <w:pPr>
        <w:shd w:val="clear" w:color="auto" w:fill="FFFFFF"/>
        <w:spacing w:line="240" w:lineRule="auto"/>
        <w:jc w:val="center"/>
        <w:rPr>
          <w:rFonts w:eastAsia="Times New Roman" w:cs="Times New Roman"/>
          <w:szCs w:val="24"/>
          <w:lang w:eastAsia="es-CO"/>
        </w:rPr>
      </w:pPr>
      <w:r w:rsidRPr="008C35DE">
        <w:rPr>
          <w:rFonts w:eastAsia="Times New Roman" w:cs="Times New Roman"/>
          <w:b/>
          <w:bCs/>
          <w:szCs w:val="24"/>
          <w:lang w:eastAsia="es-CO"/>
        </w:rPr>
        <w:t>OFICIO Nº 1299 [012896]</w:t>
      </w:r>
    </w:p>
    <w:p w:rsidR="008C35DE" w:rsidRPr="008C35DE" w:rsidRDefault="008C35DE" w:rsidP="008C35DE">
      <w:pPr>
        <w:shd w:val="clear" w:color="auto" w:fill="FFFFFF"/>
        <w:spacing w:line="240" w:lineRule="auto"/>
        <w:jc w:val="center"/>
        <w:rPr>
          <w:rFonts w:eastAsia="Times New Roman" w:cs="Times New Roman"/>
          <w:szCs w:val="24"/>
          <w:lang w:eastAsia="es-CO"/>
        </w:rPr>
      </w:pPr>
      <w:r w:rsidRPr="008C35DE">
        <w:rPr>
          <w:rFonts w:eastAsia="Times New Roman" w:cs="Times New Roman"/>
          <w:b/>
          <w:bCs/>
          <w:szCs w:val="24"/>
          <w:lang w:eastAsia="es-CO"/>
        </w:rPr>
        <w:t>24-05-2019</w:t>
      </w:r>
    </w:p>
    <w:p w:rsidR="008C35DE" w:rsidRPr="008C35DE" w:rsidRDefault="008C35DE" w:rsidP="008C35DE">
      <w:pPr>
        <w:shd w:val="clear" w:color="auto" w:fill="FFFFFF"/>
        <w:spacing w:line="240" w:lineRule="auto"/>
        <w:jc w:val="center"/>
        <w:rPr>
          <w:rFonts w:eastAsia="Times New Roman" w:cs="Times New Roman"/>
          <w:szCs w:val="24"/>
          <w:lang w:eastAsia="es-CO"/>
        </w:rPr>
      </w:pPr>
      <w:r w:rsidRPr="008C35DE">
        <w:rPr>
          <w:rFonts w:eastAsia="Times New Roman" w:cs="Times New Roman"/>
          <w:b/>
          <w:bCs/>
          <w:szCs w:val="24"/>
          <w:lang w:eastAsia="es-CO"/>
        </w:rPr>
        <w:t>DIAN</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bookmarkStart w:id="0" w:name="_GoBack"/>
      <w:bookmarkEnd w:id="0"/>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Subdirección de Gestión Normativa y Doctrina</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100208221 – 001299</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Bogotá, D.C.</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proofErr w:type="spellStart"/>
      <w:r w:rsidRPr="008C35DE">
        <w:rPr>
          <w:rFonts w:eastAsia="Times New Roman" w:cs="Times New Roman"/>
          <w:b/>
          <w:bCs/>
          <w:szCs w:val="24"/>
          <w:lang w:eastAsia="es-CO"/>
        </w:rPr>
        <w:t>Ref</w:t>
      </w:r>
      <w:proofErr w:type="spellEnd"/>
      <w:r w:rsidRPr="008C35DE">
        <w:rPr>
          <w:rFonts w:eastAsia="Times New Roman" w:cs="Times New Roman"/>
          <w:b/>
          <w:bCs/>
          <w:szCs w:val="24"/>
          <w:lang w:eastAsia="es-CO"/>
        </w:rPr>
        <w:t>: </w:t>
      </w:r>
      <w:r w:rsidRPr="008C35DE">
        <w:rPr>
          <w:rFonts w:eastAsia="Times New Roman" w:cs="Times New Roman"/>
          <w:szCs w:val="24"/>
          <w:lang w:eastAsia="es-CO"/>
        </w:rPr>
        <w:t>Radicado 1703 del 16/04/2019</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22"/>
        <w:gridCol w:w="222"/>
        <w:gridCol w:w="4702"/>
      </w:tblGrid>
      <w:tr w:rsidR="008C35DE" w:rsidRPr="008C35DE" w:rsidTr="008C35DE">
        <w:tc>
          <w:tcPr>
            <w:tcW w:w="0" w:type="auto"/>
            <w:tcBorders>
              <w:top w:val="nil"/>
              <w:left w:val="nil"/>
              <w:bottom w:val="nil"/>
              <w:right w:val="nil"/>
            </w:tcBorders>
            <w:shd w:val="clear" w:color="auto" w:fill="auto"/>
            <w:tcMar>
              <w:top w:w="0" w:type="dxa"/>
              <w:left w:w="108" w:type="dxa"/>
              <w:bottom w:w="0" w:type="dxa"/>
              <w:right w:w="108" w:type="dxa"/>
            </w:tcMar>
            <w:hideMark/>
          </w:tcPr>
          <w:p w:rsidR="008C35DE" w:rsidRPr="008C35DE" w:rsidRDefault="008C35DE" w:rsidP="008C35DE">
            <w:pPr>
              <w:spacing w:line="240" w:lineRule="auto"/>
              <w:rPr>
                <w:rFonts w:eastAsia="Times New Roman" w:cs="Times New Roman"/>
                <w:szCs w:val="24"/>
                <w:lang w:eastAsia="es-CO"/>
              </w:rPr>
            </w:pPr>
            <w:r w:rsidRPr="008C35DE">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C35DE" w:rsidRPr="008C35DE" w:rsidRDefault="008C35DE" w:rsidP="008C35DE">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8C35DE" w:rsidRPr="008C35DE" w:rsidRDefault="008C35DE" w:rsidP="008C35DE">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8C35DE" w:rsidRPr="008C35DE" w:rsidRDefault="008C35DE" w:rsidP="008C35DE">
            <w:pPr>
              <w:spacing w:line="240" w:lineRule="auto"/>
              <w:rPr>
                <w:rFonts w:eastAsia="Times New Roman" w:cs="Times New Roman"/>
                <w:szCs w:val="24"/>
                <w:lang w:eastAsia="es-CO"/>
              </w:rPr>
            </w:pPr>
            <w:r w:rsidRPr="008C35DE">
              <w:rPr>
                <w:rFonts w:eastAsia="Times New Roman" w:cs="Times New Roman"/>
                <w:szCs w:val="24"/>
                <w:lang w:eastAsia="es-CO"/>
              </w:rPr>
              <w:t>Impuesto sobre la Renta y Complementarios</w:t>
            </w:r>
          </w:p>
        </w:tc>
      </w:tr>
      <w:tr w:rsidR="008C35DE" w:rsidRPr="008C35DE" w:rsidTr="008C35DE">
        <w:tc>
          <w:tcPr>
            <w:tcW w:w="0" w:type="auto"/>
            <w:tcBorders>
              <w:top w:val="nil"/>
              <w:left w:val="nil"/>
              <w:bottom w:val="nil"/>
              <w:right w:val="nil"/>
            </w:tcBorders>
            <w:shd w:val="clear" w:color="auto" w:fill="auto"/>
            <w:tcMar>
              <w:top w:w="0" w:type="dxa"/>
              <w:left w:w="108" w:type="dxa"/>
              <w:bottom w:w="0" w:type="dxa"/>
              <w:right w:w="108" w:type="dxa"/>
            </w:tcMar>
            <w:hideMark/>
          </w:tcPr>
          <w:p w:rsidR="008C35DE" w:rsidRPr="008C35DE" w:rsidRDefault="008C35DE" w:rsidP="008C35DE">
            <w:pPr>
              <w:spacing w:line="240" w:lineRule="auto"/>
              <w:rPr>
                <w:rFonts w:eastAsia="Times New Roman" w:cs="Times New Roman"/>
                <w:szCs w:val="24"/>
                <w:lang w:eastAsia="es-CO"/>
              </w:rPr>
            </w:pPr>
            <w:r w:rsidRPr="008C35DE">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C35DE" w:rsidRPr="008C35DE" w:rsidRDefault="008C35DE" w:rsidP="008C35DE">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8C35DE" w:rsidRPr="008C35DE" w:rsidRDefault="008C35DE" w:rsidP="008C35DE">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8C35DE" w:rsidRPr="008C35DE" w:rsidRDefault="008C35DE" w:rsidP="008C35DE">
            <w:pPr>
              <w:spacing w:line="240" w:lineRule="auto"/>
              <w:rPr>
                <w:rFonts w:eastAsia="Times New Roman" w:cs="Times New Roman"/>
                <w:szCs w:val="24"/>
                <w:lang w:eastAsia="es-CO"/>
              </w:rPr>
            </w:pPr>
            <w:r w:rsidRPr="008C35DE">
              <w:rPr>
                <w:rFonts w:eastAsia="Times New Roman" w:cs="Times New Roman"/>
                <w:szCs w:val="24"/>
                <w:lang w:eastAsia="es-CO"/>
              </w:rPr>
              <w:t>Pago de fuente extranjera a residentes</w:t>
            </w:r>
          </w:p>
        </w:tc>
      </w:tr>
      <w:tr w:rsidR="008C35DE" w:rsidRPr="008C35DE" w:rsidTr="008C35DE">
        <w:tc>
          <w:tcPr>
            <w:tcW w:w="0" w:type="auto"/>
            <w:tcBorders>
              <w:top w:val="nil"/>
              <w:left w:val="nil"/>
              <w:bottom w:val="nil"/>
              <w:right w:val="nil"/>
            </w:tcBorders>
            <w:shd w:val="clear" w:color="auto" w:fill="auto"/>
            <w:tcMar>
              <w:top w:w="0" w:type="dxa"/>
              <w:left w:w="108" w:type="dxa"/>
              <w:bottom w:w="0" w:type="dxa"/>
              <w:right w:w="108" w:type="dxa"/>
            </w:tcMar>
            <w:hideMark/>
          </w:tcPr>
          <w:p w:rsidR="008C35DE" w:rsidRPr="008C35DE" w:rsidRDefault="008C35DE" w:rsidP="008C35DE">
            <w:pPr>
              <w:spacing w:line="240" w:lineRule="auto"/>
              <w:rPr>
                <w:rFonts w:eastAsia="Times New Roman" w:cs="Times New Roman"/>
                <w:szCs w:val="24"/>
                <w:lang w:eastAsia="es-CO"/>
              </w:rPr>
            </w:pPr>
            <w:r w:rsidRPr="008C35DE">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C35DE" w:rsidRPr="008C35DE" w:rsidRDefault="008C35DE" w:rsidP="008C35DE">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8C35DE" w:rsidRPr="008C35DE" w:rsidRDefault="008C35DE" w:rsidP="008C35DE">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8C35DE" w:rsidRPr="008C35DE" w:rsidRDefault="008C35DE" w:rsidP="008C35DE">
            <w:pPr>
              <w:spacing w:line="240" w:lineRule="auto"/>
              <w:rPr>
                <w:rFonts w:eastAsia="Times New Roman" w:cs="Times New Roman"/>
                <w:szCs w:val="24"/>
                <w:lang w:eastAsia="es-CO"/>
              </w:rPr>
            </w:pPr>
            <w:r w:rsidRPr="008C35DE">
              <w:rPr>
                <w:rFonts w:eastAsia="Times New Roman" w:cs="Times New Roman"/>
                <w:szCs w:val="24"/>
                <w:lang w:eastAsia="es-CO"/>
              </w:rPr>
              <w:t>Estatuto Tributario – </w:t>
            </w:r>
            <w:hyperlink r:id="rId4" w:tooltip="Estatuto Tributario CETA" w:history="1">
              <w:r w:rsidRPr="008C35DE">
                <w:rPr>
                  <w:rFonts w:eastAsia="Times New Roman" w:cs="Times New Roman"/>
                  <w:szCs w:val="24"/>
                  <w:u w:val="single"/>
                  <w:lang w:eastAsia="es-CO"/>
                </w:rPr>
                <w:t>Artículo 9</w:t>
              </w:r>
            </w:hyperlink>
          </w:p>
          <w:p w:rsidR="008C35DE" w:rsidRPr="008C35DE" w:rsidRDefault="008C35DE" w:rsidP="008C35DE">
            <w:pPr>
              <w:spacing w:line="240" w:lineRule="auto"/>
              <w:rPr>
                <w:rFonts w:eastAsia="Times New Roman" w:cs="Times New Roman"/>
                <w:szCs w:val="24"/>
                <w:lang w:eastAsia="es-CO"/>
              </w:rPr>
            </w:pPr>
            <w:r w:rsidRPr="008C35DE">
              <w:rPr>
                <w:rFonts w:eastAsia="Times New Roman" w:cs="Times New Roman"/>
                <w:szCs w:val="24"/>
                <w:lang w:eastAsia="es-CO"/>
              </w:rPr>
              <w:t>Estatuto Tributario – </w:t>
            </w:r>
            <w:hyperlink r:id="rId5" w:tooltip="Estatuto Tributario CETA" w:history="1">
              <w:r w:rsidRPr="008C35DE">
                <w:rPr>
                  <w:rFonts w:eastAsia="Times New Roman" w:cs="Times New Roman"/>
                  <w:szCs w:val="24"/>
                  <w:u w:val="single"/>
                  <w:lang w:eastAsia="es-CO"/>
                </w:rPr>
                <w:t>Artículo 206</w:t>
              </w:r>
            </w:hyperlink>
            <w:r w:rsidRPr="008C35DE">
              <w:rPr>
                <w:rFonts w:eastAsia="Times New Roman" w:cs="Times New Roman"/>
                <w:szCs w:val="24"/>
                <w:lang w:eastAsia="es-CO"/>
              </w:rPr>
              <w:t>, numeral 10</w:t>
            </w:r>
          </w:p>
          <w:p w:rsidR="008C35DE" w:rsidRPr="008C35DE" w:rsidRDefault="008C35DE" w:rsidP="008C35DE">
            <w:pPr>
              <w:spacing w:line="240" w:lineRule="auto"/>
              <w:rPr>
                <w:rFonts w:eastAsia="Times New Roman" w:cs="Times New Roman"/>
                <w:szCs w:val="24"/>
                <w:lang w:eastAsia="es-CO"/>
              </w:rPr>
            </w:pPr>
            <w:r w:rsidRPr="008C35DE">
              <w:rPr>
                <w:rFonts w:eastAsia="Times New Roman" w:cs="Times New Roman"/>
                <w:szCs w:val="24"/>
                <w:lang w:eastAsia="es-CO"/>
              </w:rPr>
              <w:t>Estatuto Tributario – </w:t>
            </w:r>
            <w:hyperlink r:id="rId6" w:tooltip="Estatuto Tributario CETA" w:history="1">
              <w:r w:rsidRPr="008C35DE">
                <w:rPr>
                  <w:rFonts w:eastAsia="Times New Roman" w:cs="Times New Roman"/>
                  <w:szCs w:val="24"/>
                  <w:u w:val="single"/>
                  <w:lang w:eastAsia="es-CO"/>
                </w:rPr>
                <w:t>Artículo 25</w:t>
              </w:r>
            </w:hyperlink>
          </w:p>
        </w:tc>
      </w:tr>
    </w:tbl>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Cordial saludo señora Sandra:</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Mediante escrito radicado 1703 del 16 de abril de 2018 está Subdirección recibió la consulta por medio de la que se solicita resolver la siguiente inquietud:</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i/>
          <w:iCs/>
          <w:szCs w:val="24"/>
          <w:lang w:eastAsia="es-CO"/>
        </w:rPr>
        <w:t>¿Cuál es el tratamiento tributario de un contratista remoto en Estados Unidos, que vive en Colombia y cuyo salario es pagado en dólares?</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En atención a la consulta, se procede a analizar las siguientes consideraciones:</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b/>
          <w:bCs/>
          <w:szCs w:val="24"/>
          <w:u w:val="single"/>
          <w:lang w:eastAsia="es-CO"/>
        </w:rPr>
        <w:t>Tratamiento tributario de los pagos de fuente extranjera que se realizan a una persona natural residente</w:t>
      </w:r>
      <w:r w:rsidRPr="008C35DE">
        <w:rPr>
          <w:rFonts w:eastAsia="Times New Roman" w:cs="Times New Roman"/>
          <w:b/>
          <w:bCs/>
          <w:szCs w:val="24"/>
          <w:lang w:eastAsia="es-CO"/>
        </w:rPr>
        <w:t>:</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1. Para comenzar, el </w:t>
      </w:r>
      <w:hyperlink r:id="rId7" w:tooltip="Estatuto Tributario CETA" w:history="1">
        <w:r w:rsidRPr="008C35DE">
          <w:rPr>
            <w:rFonts w:eastAsia="Times New Roman" w:cs="Times New Roman"/>
            <w:szCs w:val="24"/>
            <w:u w:val="single"/>
            <w:lang w:eastAsia="es-CO"/>
          </w:rPr>
          <w:t>artículo 9</w:t>
        </w:r>
      </w:hyperlink>
      <w:r w:rsidRPr="008C35DE">
        <w:rPr>
          <w:rFonts w:eastAsia="Times New Roman" w:cs="Times New Roman"/>
          <w:szCs w:val="24"/>
          <w:lang w:eastAsia="es-CO"/>
        </w:rPr>
        <w:t> del Estatuto Tributario (“E.T.”), señala:</w:t>
      </w:r>
    </w:p>
    <w:p w:rsidR="008C35DE" w:rsidRPr="008C35DE" w:rsidRDefault="008C35DE" w:rsidP="008C35DE">
      <w:pPr>
        <w:shd w:val="clear" w:color="auto" w:fill="FFFFFF"/>
        <w:spacing w:line="240" w:lineRule="auto"/>
        <w:ind w:left="180"/>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ind w:left="180"/>
        <w:rPr>
          <w:rFonts w:eastAsia="Times New Roman" w:cs="Times New Roman"/>
          <w:szCs w:val="24"/>
          <w:lang w:eastAsia="es-CO"/>
        </w:rPr>
      </w:pPr>
      <w:r w:rsidRPr="008C35DE">
        <w:rPr>
          <w:rFonts w:eastAsia="Times New Roman" w:cs="Times New Roman"/>
          <w:b/>
          <w:bCs/>
          <w:i/>
          <w:iCs/>
          <w:szCs w:val="24"/>
          <w:lang w:eastAsia="es-CO"/>
        </w:rPr>
        <w:t>“</w:t>
      </w:r>
      <w:hyperlink r:id="rId8" w:tooltip="Estatuto Tributario CETA" w:history="1">
        <w:r w:rsidRPr="008C35DE">
          <w:rPr>
            <w:rFonts w:eastAsia="Times New Roman" w:cs="Times New Roman"/>
            <w:b/>
            <w:bCs/>
            <w:i/>
            <w:iCs/>
            <w:szCs w:val="24"/>
            <w:u w:val="single"/>
            <w:lang w:eastAsia="es-CO"/>
          </w:rPr>
          <w:t>Artículo 9º</w:t>
        </w:r>
      </w:hyperlink>
      <w:r w:rsidRPr="008C35DE">
        <w:rPr>
          <w:rFonts w:eastAsia="Times New Roman" w:cs="Times New Roman"/>
          <w:b/>
          <w:bCs/>
          <w:i/>
          <w:iCs/>
          <w:szCs w:val="24"/>
          <w:lang w:eastAsia="es-CO"/>
        </w:rPr>
        <w:t> IMPUESTO DE LAS PERSONAS NATURALES, RESIDENTES Y NO RESIDENTES.</w:t>
      </w:r>
      <w:r w:rsidRPr="008C35DE">
        <w:rPr>
          <w:rFonts w:eastAsia="Times New Roman" w:cs="Times New Roman"/>
          <w:i/>
          <w:iCs/>
          <w:szCs w:val="24"/>
          <w:lang w:eastAsia="es-CO"/>
        </w:rPr>
        <w:t xml:space="preserve"> Las personas naturales, nacionales o extranjeras, residentes en el país y las sucesiones ilíquidas de causantes con residencia en el país en el momento de su muerte, están sujetas al impuesto sobre la renta y complementarios en lo concerniente a sus rentas </w:t>
      </w:r>
      <w:r w:rsidRPr="008C35DE">
        <w:rPr>
          <w:rFonts w:eastAsia="Times New Roman" w:cs="Times New Roman"/>
          <w:i/>
          <w:iCs/>
          <w:szCs w:val="24"/>
          <w:lang w:eastAsia="es-CO"/>
        </w:rPr>
        <w:lastRenderedPageBreak/>
        <w:t>y ganancias ocasionales, tanto de fuente nacional como de fuente extranjera, y a su patrimonio poseído dentro y fuera del país.”</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2. Como lo establece la norma transcrita, el pago que recibe una persona natural desde el exterior, con independencia de la moneda en que se realice la transacción, estará sometido al impuesto sobre la renta y complementarios. Esto, en relación con el </w:t>
      </w:r>
      <w:hyperlink r:id="rId9" w:tooltip="Estatuto Tributario CETA" w:history="1">
        <w:r w:rsidRPr="008C35DE">
          <w:rPr>
            <w:rFonts w:eastAsia="Times New Roman" w:cs="Times New Roman"/>
            <w:szCs w:val="24"/>
            <w:u w:val="single"/>
            <w:lang w:eastAsia="es-CO"/>
          </w:rPr>
          <w:t>artículo 27</w:t>
        </w:r>
      </w:hyperlink>
      <w:r w:rsidRPr="008C35DE">
        <w:rPr>
          <w:rFonts w:eastAsia="Times New Roman" w:cs="Times New Roman"/>
          <w:szCs w:val="24"/>
          <w:lang w:eastAsia="es-CO"/>
        </w:rPr>
        <w:t> del E.T. que se refiere a la realización del ingreso para los no obligados a llevar contabilidad, que el consultante deberá tener en cuenta para reportar el pago sobre el que recae su inquietud.</w:t>
      </w:r>
    </w:p>
    <w:p w:rsidR="008C35DE" w:rsidRPr="008C35DE" w:rsidRDefault="008C35DE" w:rsidP="008C35DE">
      <w:pPr>
        <w:shd w:val="clear" w:color="auto" w:fill="FFFFFF"/>
        <w:spacing w:line="240" w:lineRule="auto"/>
        <w:rPr>
          <w:rFonts w:eastAsia="Times New Roman" w:cs="Times New Roman"/>
          <w:szCs w:val="24"/>
          <w:lang w:eastAsia="es-CO"/>
        </w:rPr>
      </w:pP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3. Adicionalmente, es importante mencionar que el veinticinco por ciento (25%) del valor total de los pagos laborales, limitados mensualmente a doscientas cuarenta (240) UVT, se consideran renta exenta de conformidad con el numeral 10° del </w:t>
      </w:r>
      <w:hyperlink r:id="rId10" w:tooltip="Estatuto Tributario CETA" w:history="1">
        <w:r w:rsidRPr="008C35DE">
          <w:rPr>
            <w:rFonts w:eastAsia="Times New Roman" w:cs="Times New Roman"/>
            <w:szCs w:val="24"/>
            <w:u w:val="single"/>
            <w:lang w:eastAsia="es-CO"/>
          </w:rPr>
          <w:t>artículo 206</w:t>
        </w:r>
      </w:hyperlink>
      <w:r w:rsidRPr="008C35DE">
        <w:rPr>
          <w:rFonts w:eastAsia="Times New Roman" w:cs="Times New Roman"/>
          <w:szCs w:val="24"/>
          <w:lang w:eastAsia="es-CO"/>
        </w:rPr>
        <w:t> del E.T.</w:t>
      </w:r>
    </w:p>
    <w:p w:rsidR="008C35DE" w:rsidRPr="008C35DE" w:rsidRDefault="008C35DE" w:rsidP="008C35DE">
      <w:pPr>
        <w:shd w:val="clear" w:color="auto" w:fill="FFFFFF"/>
        <w:spacing w:line="240" w:lineRule="auto"/>
        <w:rPr>
          <w:rFonts w:eastAsia="Times New Roman" w:cs="Times New Roman"/>
          <w:szCs w:val="24"/>
          <w:lang w:eastAsia="es-CO"/>
        </w:rPr>
      </w:pP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4. Sobre el punto anterior, conviene recordar que el parágrafo 5° del mismo numeral establece: </w:t>
      </w:r>
      <w:r w:rsidRPr="008C35DE">
        <w:rPr>
          <w:rFonts w:eastAsia="Times New Roman" w:cs="Times New Roman"/>
          <w:i/>
          <w:iCs/>
          <w:szCs w:val="24"/>
          <w:lang w:eastAsia="es-CO"/>
        </w:rPr>
        <w:t>“La exención prevista en el numeral 10 también procede en relación con los honorarios percibidos por personas naturales que presten servicios y que contraten o vinculen por un término inferior a noventa (90) días continuos o discontinuos menos de dos (2) trabajadores o contratistas asociados a la actividad.”.</w:t>
      </w:r>
      <w:r w:rsidRPr="008C35DE">
        <w:rPr>
          <w:rFonts w:eastAsia="Times New Roman" w:cs="Times New Roman"/>
          <w:szCs w:val="24"/>
          <w:lang w:eastAsia="es-CO"/>
        </w:rPr>
        <w:t> Esto, atado a que el inciso 2° del </w:t>
      </w:r>
      <w:hyperlink r:id="rId11" w:tooltip="Estatuto Tributario CETA" w:history="1">
        <w:r w:rsidRPr="008C35DE">
          <w:rPr>
            <w:rFonts w:eastAsia="Times New Roman" w:cs="Times New Roman"/>
            <w:szCs w:val="24"/>
            <w:u w:val="single"/>
            <w:lang w:eastAsia="es-CO"/>
          </w:rPr>
          <w:t>artículo 340</w:t>
        </w:r>
      </w:hyperlink>
      <w:r w:rsidRPr="008C35DE">
        <w:rPr>
          <w:rFonts w:eastAsia="Times New Roman" w:cs="Times New Roman"/>
          <w:szCs w:val="24"/>
          <w:lang w:eastAsia="es-CO"/>
        </w:rPr>
        <w:t> fue derogado por el artículo 122 de la Ley 1943 de 2018.</w:t>
      </w:r>
    </w:p>
    <w:p w:rsidR="008C35DE" w:rsidRPr="008C35DE" w:rsidRDefault="008C35DE" w:rsidP="008C35DE">
      <w:pPr>
        <w:shd w:val="clear" w:color="auto" w:fill="FFFFFF"/>
        <w:spacing w:line="240" w:lineRule="auto"/>
        <w:rPr>
          <w:rFonts w:eastAsia="Times New Roman" w:cs="Times New Roman"/>
          <w:szCs w:val="24"/>
          <w:lang w:eastAsia="es-CO"/>
        </w:rPr>
      </w:pP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5. Así mismo, debe tenerse en cuenta el </w:t>
      </w:r>
      <w:hyperlink r:id="rId12" w:tooltip="Estatuto Tributario CETA" w:history="1">
        <w:r w:rsidRPr="008C35DE">
          <w:rPr>
            <w:rFonts w:eastAsia="Times New Roman" w:cs="Times New Roman"/>
            <w:szCs w:val="24"/>
            <w:u w:val="single"/>
            <w:lang w:eastAsia="es-CO"/>
          </w:rPr>
          <w:t>artículo 254</w:t>
        </w:r>
      </w:hyperlink>
      <w:r w:rsidRPr="008C35DE">
        <w:rPr>
          <w:rFonts w:eastAsia="Times New Roman" w:cs="Times New Roman"/>
          <w:szCs w:val="24"/>
          <w:lang w:eastAsia="es-CO"/>
        </w:rPr>
        <w:t> del E.T., según el cual:</w:t>
      </w:r>
    </w:p>
    <w:p w:rsidR="008C35DE" w:rsidRPr="008C35DE" w:rsidRDefault="008C35DE" w:rsidP="008C35DE">
      <w:pPr>
        <w:shd w:val="clear" w:color="auto" w:fill="FFFFFF"/>
        <w:spacing w:line="240" w:lineRule="auto"/>
        <w:ind w:left="180"/>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ind w:left="180"/>
        <w:rPr>
          <w:rFonts w:eastAsia="Times New Roman" w:cs="Times New Roman"/>
          <w:szCs w:val="24"/>
          <w:lang w:eastAsia="es-CO"/>
        </w:rPr>
      </w:pPr>
      <w:r w:rsidRPr="008C35DE">
        <w:rPr>
          <w:rFonts w:eastAsia="Times New Roman" w:cs="Times New Roman"/>
          <w:i/>
          <w:iCs/>
          <w:szCs w:val="24"/>
          <w:lang w:eastAsia="es-CO"/>
        </w:rPr>
        <w:t>“</w:t>
      </w:r>
      <w:r w:rsidRPr="008C35DE">
        <w:rPr>
          <w:rFonts w:eastAsia="Times New Roman" w:cs="Times New Roman"/>
          <w:i/>
          <w:iCs/>
          <w:szCs w:val="24"/>
          <w:u w:val="single"/>
          <w:lang w:eastAsia="es-CO"/>
        </w:rPr>
        <w:t>Las personas naturales residentes en el país</w:t>
      </w:r>
      <w:r w:rsidRPr="008C35DE">
        <w:rPr>
          <w:rFonts w:eastAsia="Times New Roman" w:cs="Times New Roman"/>
          <w:i/>
          <w:iCs/>
          <w:szCs w:val="24"/>
          <w:lang w:eastAsia="es-CO"/>
        </w:rPr>
        <w:t> y las sociedades y entidades nacionales, que sean </w:t>
      </w:r>
      <w:r w:rsidRPr="008C35DE">
        <w:rPr>
          <w:rFonts w:eastAsia="Times New Roman" w:cs="Times New Roman"/>
          <w:i/>
          <w:iCs/>
          <w:szCs w:val="24"/>
          <w:u w:val="single"/>
          <w:lang w:eastAsia="es-CO"/>
        </w:rPr>
        <w:t>contribuyentes del impuesto sobre la renta y complementarios y que perciban rentas de fuente extranjera sujetas al impuesto sobre la renta en el país de origen, tienen derecho a descontar del monto del impuesto colombiano de renta y complementarios, el impuesto pagado en el extranjero</w:t>
      </w:r>
      <w:r w:rsidRPr="008C35DE">
        <w:rPr>
          <w:rFonts w:eastAsia="Times New Roman" w:cs="Times New Roman"/>
          <w:i/>
          <w:iCs/>
          <w:szCs w:val="24"/>
          <w:lang w:eastAsia="es-CO"/>
        </w:rPr>
        <w:t>, cualquiera sea su denominación, liquidado sobre esas mismas rentas, siempre que el descuento no exceda del monto del impuesto que deba pagar el contribuyente en Colombia por esas mismas rentas. (…)” </w:t>
      </w:r>
      <w:r w:rsidRPr="008C35DE">
        <w:rPr>
          <w:rFonts w:eastAsia="Times New Roman" w:cs="Times New Roman"/>
          <w:szCs w:val="24"/>
          <w:lang w:eastAsia="es-CO"/>
        </w:rPr>
        <w:t>(subrayado fuera de texto)</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6. De acuerdo al apartado transcrito, toda persona natural en su calidad de residente, que pague el impuesto sobre la renta del país en el que percibe rentas de fuente extranjera, podrá descontarlo del impuesto sobre la renta y complementarios del que es contribuyente en Colombia.</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Atentamente,</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 </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b/>
          <w:bCs/>
          <w:szCs w:val="24"/>
          <w:lang w:eastAsia="es-CO"/>
        </w:rPr>
        <w:t>LORENZO CASTILLO BARVO</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Subdirector de Gestión Normativa y Doctrina (E)</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Dirección de Gestión Jurídica</w:t>
      </w:r>
    </w:p>
    <w:p w:rsidR="008C35DE" w:rsidRPr="008C35DE" w:rsidRDefault="008C35DE" w:rsidP="008C35DE">
      <w:pPr>
        <w:shd w:val="clear" w:color="auto" w:fill="FFFFFF"/>
        <w:spacing w:line="240" w:lineRule="auto"/>
        <w:rPr>
          <w:rFonts w:eastAsia="Times New Roman" w:cs="Times New Roman"/>
          <w:szCs w:val="24"/>
          <w:lang w:eastAsia="es-CO"/>
        </w:rPr>
      </w:pPr>
      <w:r w:rsidRPr="008C35DE">
        <w:rPr>
          <w:rFonts w:eastAsia="Times New Roman" w:cs="Times New Roman"/>
          <w:szCs w:val="24"/>
          <w:lang w:eastAsia="es-CO"/>
        </w:rPr>
        <w:t>UAE – Dirección de Impuestos y Aduanas Nacionales</w:t>
      </w:r>
    </w:p>
    <w:p w:rsidR="00730617" w:rsidRPr="008C35DE" w:rsidRDefault="008C35DE">
      <w:pPr>
        <w:rPr>
          <w:rFonts w:cs="Times New Roman"/>
          <w:szCs w:val="24"/>
        </w:rPr>
      </w:pPr>
      <w:r w:rsidRPr="008C35DE">
        <w:rPr>
          <w:rFonts w:cs="Times New Roman"/>
          <w:szCs w:val="24"/>
        </w:rPr>
        <w:t>_________________________________________________________________________</w:t>
      </w:r>
    </w:p>
    <w:sectPr w:rsidR="00730617" w:rsidRPr="008C35DE" w:rsidSect="006D14B7">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DE"/>
    <w:rsid w:val="006D14B7"/>
    <w:rsid w:val="00730617"/>
    <w:rsid w:val="008C35DE"/>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5DB5"/>
  <w15:chartTrackingRefBased/>
  <w15:docId w15:val="{B8F02FB1-D6C9-4AC6-9666-46B02CF5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686704">
      <w:bodyDiv w:val="1"/>
      <w:marLeft w:val="0"/>
      <w:marRight w:val="0"/>
      <w:marTop w:val="0"/>
      <w:marBottom w:val="0"/>
      <w:divBdr>
        <w:top w:val="none" w:sz="0" w:space="0" w:color="auto"/>
        <w:left w:val="none" w:sz="0" w:space="0" w:color="auto"/>
        <w:bottom w:val="none" w:sz="0" w:space="0" w:color="auto"/>
        <w:right w:val="none" w:sz="0" w:space="0" w:color="auto"/>
      </w:divBdr>
    </w:div>
    <w:div w:id="1679456223">
      <w:bodyDiv w:val="1"/>
      <w:marLeft w:val="0"/>
      <w:marRight w:val="0"/>
      <w:marTop w:val="0"/>
      <w:marBottom w:val="0"/>
      <w:divBdr>
        <w:top w:val="none" w:sz="0" w:space="0" w:color="auto"/>
        <w:left w:val="none" w:sz="0" w:space="0" w:color="auto"/>
        <w:bottom w:val="none" w:sz="0" w:space="0" w:color="auto"/>
        <w:right w:val="none" w:sz="0" w:space="0" w:color="auto"/>
      </w:divBdr>
    </w:div>
    <w:div w:id="170729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31" TargetMode="External"/><Relationship Id="rId12" Type="http://schemas.openxmlformats.org/officeDocument/2006/relationships/hyperlink" Target="https://www.ceta.org.co/html/vista_de_un_articulo.asp?Norma=3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5" TargetMode="External"/><Relationship Id="rId11" Type="http://schemas.openxmlformats.org/officeDocument/2006/relationships/hyperlink" Target="https://www.ceta.org.co/html/vista_de_un_articulo.asp?Norma=419" TargetMode="External"/><Relationship Id="rId5" Type="http://schemas.openxmlformats.org/officeDocument/2006/relationships/hyperlink" Target="https://www.ceta.org.co/html/vista_de_un_articulo.asp?Norma=272" TargetMode="External"/><Relationship Id="rId10" Type="http://schemas.openxmlformats.org/officeDocument/2006/relationships/hyperlink" Target="https://www.ceta.org.co/html/vista_de_un_articulo.asp?Norma=272" TargetMode="External"/><Relationship Id="rId4" Type="http://schemas.openxmlformats.org/officeDocument/2006/relationships/hyperlink" Target="https://www.ceta.org.co/html/vista_de_un_articulo.asp?Norma=31" TargetMode="External"/><Relationship Id="rId9" Type="http://schemas.openxmlformats.org/officeDocument/2006/relationships/hyperlink" Target="https://www.ceta.org.co/html/vista_de_un_articulo.asp?Norma=57"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910</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2019-09-13T02:13:00Z</dcterms:created>
  <dcterms:modified xsi:type="dcterms:W3CDTF">2019-09-13T02:18:00Z</dcterms:modified>
</cp:coreProperties>
</file>