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976" w:rsidRDefault="005F3976" w:rsidP="005F3976">
      <w:pPr>
        <w:spacing w:after="0" w:line="240" w:lineRule="auto"/>
        <w:jc w:val="center"/>
        <w:rPr>
          <w:rFonts w:ascii="Segoe UI" w:eastAsia="Times New Roman" w:hAnsi="Segoe UI" w:cs="Segoe UI"/>
          <w:b/>
          <w:bCs/>
          <w:color w:val="0000FF"/>
          <w:sz w:val="28"/>
          <w:szCs w:val="28"/>
          <w:lang w:eastAsia="es-CO"/>
        </w:rPr>
      </w:pPr>
    </w:p>
    <w:p w:rsidR="005F3976" w:rsidRDefault="005F3976" w:rsidP="005F3976">
      <w:pPr>
        <w:spacing w:after="0" w:line="240" w:lineRule="auto"/>
        <w:jc w:val="center"/>
        <w:rPr>
          <w:rFonts w:ascii="Segoe UI" w:eastAsia="Times New Roman" w:hAnsi="Segoe UI" w:cs="Segoe UI"/>
          <w:b/>
          <w:bCs/>
          <w:color w:val="0000FF"/>
          <w:sz w:val="28"/>
          <w:szCs w:val="28"/>
          <w:lang w:eastAsia="es-CO"/>
        </w:rPr>
      </w:pPr>
    </w:p>
    <w:p w:rsidR="005F3976" w:rsidRPr="005F3976" w:rsidRDefault="005F3976" w:rsidP="005F3976">
      <w:pPr>
        <w:spacing w:after="0" w:line="240" w:lineRule="auto"/>
        <w:jc w:val="center"/>
        <w:rPr>
          <w:rFonts w:ascii="Arial" w:eastAsia="Times New Roman" w:hAnsi="Arial" w:cs="Arial"/>
          <w:color w:val="000000"/>
          <w:sz w:val="18"/>
          <w:szCs w:val="18"/>
          <w:lang w:eastAsia="es-CO"/>
        </w:rPr>
      </w:pPr>
      <w:bookmarkStart w:id="0" w:name="_GoBack"/>
      <w:bookmarkEnd w:id="0"/>
      <w:r w:rsidRPr="005F3976">
        <w:rPr>
          <w:rFonts w:ascii="Segoe UI" w:eastAsia="Times New Roman" w:hAnsi="Segoe UI" w:cs="Segoe UI"/>
          <w:b/>
          <w:bCs/>
          <w:color w:val="0000FF"/>
          <w:sz w:val="28"/>
          <w:szCs w:val="28"/>
          <w:lang w:eastAsia="es-CO"/>
        </w:rPr>
        <w:t>OFICIO Nº 1069 [010660]</w:t>
      </w:r>
    </w:p>
    <w:p w:rsidR="005F3976" w:rsidRPr="005F3976" w:rsidRDefault="005F3976" w:rsidP="005F3976">
      <w:pPr>
        <w:spacing w:after="0" w:line="240" w:lineRule="auto"/>
        <w:jc w:val="center"/>
        <w:rPr>
          <w:rFonts w:ascii="Arial" w:eastAsia="Times New Roman" w:hAnsi="Arial" w:cs="Arial"/>
          <w:color w:val="000000"/>
          <w:sz w:val="18"/>
          <w:szCs w:val="18"/>
          <w:lang w:eastAsia="es-CO"/>
        </w:rPr>
      </w:pPr>
      <w:r w:rsidRPr="005F3976">
        <w:rPr>
          <w:rFonts w:ascii="Segoe UI" w:eastAsia="Times New Roman" w:hAnsi="Segoe UI" w:cs="Segoe UI"/>
          <w:b/>
          <w:bCs/>
          <w:color w:val="0000FF"/>
          <w:sz w:val="28"/>
          <w:szCs w:val="28"/>
          <w:lang w:eastAsia="es-CO"/>
        </w:rPr>
        <w:t>07-05-2019</w:t>
      </w:r>
    </w:p>
    <w:p w:rsidR="005F3976" w:rsidRPr="005F3976" w:rsidRDefault="005F3976" w:rsidP="005F3976">
      <w:pPr>
        <w:spacing w:after="0" w:line="240" w:lineRule="auto"/>
        <w:jc w:val="center"/>
        <w:rPr>
          <w:rFonts w:ascii="Arial" w:eastAsia="Times New Roman" w:hAnsi="Arial" w:cs="Arial"/>
          <w:color w:val="000000"/>
          <w:sz w:val="18"/>
          <w:szCs w:val="18"/>
          <w:lang w:eastAsia="es-CO"/>
        </w:rPr>
      </w:pPr>
      <w:r w:rsidRPr="005F3976">
        <w:rPr>
          <w:rFonts w:ascii="Segoe UI" w:eastAsia="Times New Roman" w:hAnsi="Segoe UI" w:cs="Segoe UI"/>
          <w:b/>
          <w:bCs/>
          <w:color w:val="0000FF"/>
          <w:sz w:val="28"/>
          <w:szCs w:val="28"/>
          <w:lang w:eastAsia="es-CO"/>
        </w:rPr>
        <w:t>DIAN</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b/>
          <w:bCs/>
          <w:color w:val="0000FF"/>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b/>
          <w:bCs/>
          <w:color w:val="0000FF"/>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Subdirección de Gestión Normativa y Doctrina</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Bogotá, D.C.</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100208221 – 001069</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proofErr w:type="spellStart"/>
      <w:r w:rsidRPr="005F3976">
        <w:rPr>
          <w:rFonts w:ascii="Segoe UI" w:eastAsia="Times New Roman" w:hAnsi="Segoe UI" w:cs="Segoe UI"/>
          <w:b/>
          <w:bCs/>
          <w:color w:val="000000"/>
          <w:sz w:val="18"/>
          <w:szCs w:val="18"/>
          <w:lang w:eastAsia="es-CO"/>
        </w:rPr>
        <w:t>Ref</w:t>
      </w:r>
      <w:proofErr w:type="spellEnd"/>
      <w:r w:rsidRPr="005F3976">
        <w:rPr>
          <w:rFonts w:ascii="Segoe UI" w:eastAsia="Times New Roman" w:hAnsi="Segoe UI" w:cs="Segoe UI"/>
          <w:b/>
          <w:bCs/>
          <w:color w:val="000000"/>
          <w:sz w:val="18"/>
          <w:szCs w:val="18"/>
          <w:lang w:eastAsia="es-CO"/>
        </w:rPr>
        <w:t>:</w:t>
      </w:r>
      <w:r w:rsidRPr="005F3976">
        <w:rPr>
          <w:rFonts w:ascii="Segoe UI" w:eastAsia="Times New Roman" w:hAnsi="Segoe UI" w:cs="Segoe UI"/>
          <w:color w:val="000000"/>
          <w:sz w:val="18"/>
          <w:szCs w:val="18"/>
          <w:lang w:eastAsia="es-CO"/>
        </w:rPr>
        <w:t> Radicado 100018610 del 21/03/2019</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966"/>
      </w:tblGrid>
      <w:tr w:rsidR="005F3976" w:rsidRPr="005F3976" w:rsidTr="005F3976">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Procedimiento Tributario</w:t>
            </w:r>
          </w:p>
        </w:tc>
      </w:tr>
      <w:tr w:rsidR="005F3976" w:rsidRPr="005F3976" w:rsidTr="005F3976">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OMISIÓN DEL AGENTE RETENEDOR O RECAUDADOR.</w:t>
            </w:r>
          </w:p>
        </w:tc>
      </w:tr>
      <w:tr w:rsidR="005F3976" w:rsidRPr="005F3976" w:rsidTr="005F3976">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Estatuto Tributario. Arts. </w:t>
            </w:r>
            <w:hyperlink r:id="rId4" w:tooltip="Estatuto Tributario CETA" w:history="1">
              <w:r w:rsidRPr="005F3976">
                <w:rPr>
                  <w:rFonts w:ascii="Segoe UI" w:eastAsia="Times New Roman" w:hAnsi="Segoe UI" w:cs="Segoe UI"/>
                  <w:color w:val="0089E1"/>
                  <w:sz w:val="20"/>
                  <w:szCs w:val="20"/>
                  <w:u w:val="single"/>
                  <w:lang w:eastAsia="es-CO"/>
                </w:rPr>
                <w:t>368</w:t>
              </w:r>
            </w:hyperlink>
            <w:r w:rsidRPr="005F3976">
              <w:rPr>
                <w:rFonts w:ascii="Segoe UI" w:eastAsia="Times New Roman" w:hAnsi="Segoe UI" w:cs="Segoe UI"/>
                <w:sz w:val="20"/>
                <w:szCs w:val="20"/>
                <w:lang w:eastAsia="es-CO"/>
              </w:rPr>
              <w:t>, </w:t>
            </w:r>
            <w:hyperlink r:id="rId5" w:tooltip="Estatuto Tributario CETA" w:history="1">
              <w:r w:rsidRPr="005F3976">
                <w:rPr>
                  <w:rFonts w:ascii="Segoe UI" w:eastAsia="Times New Roman" w:hAnsi="Segoe UI" w:cs="Segoe UI"/>
                  <w:color w:val="0089E1"/>
                  <w:sz w:val="20"/>
                  <w:szCs w:val="20"/>
                  <w:u w:val="single"/>
                  <w:lang w:eastAsia="es-CO"/>
                </w:rPr>
                <w:t>375</w:t>
              </w:r>
            </w:hyperlink>
            <w:r w:rsidRPr="005F3976">
              <w:rPr>
                <w:rFonts w:ascii="Segoe UI" w:eastAsia="Times New Roman" w:hAnsi="Segoe UI" w:cs="Segoe UI"/>
                <w:sz w:val="20"/>
                <w:szCs w:val="20"/>
                <w:lang w:eastAsia="es-CO"/>
              </w:rPr>
              <w:t> y </w:t>
            </w:r>
            <w:hyperlink r:id="rId6" w:tooltip="Estatuto Tributario CETA" w:history="1">
              <w:r w:rsidRPr="005F3976">
                <w:rPr>
                  <w:rFonts w:ascii="Segoe UI" w:eastAsia="Times New Roman" w:hAnsi="Segoe UI" w:cs="Segoe UI"/>
                  <w:color w:val="0089E1"/>
                  <w:sz w:val="20"/>
                  <w:szCs w:val="20"/>
                  <w:u w:val="single"/>
                  <w:lang w:eastAsia="es-CO"/>
                </w:rPr>
                <w:t>665</w:t>
              </w:r>
            </w:hyperlink>
            <w:r w:rsidRPr="005F3976">
              <w:rPr>
                <w:rFonts w:ascii="Segoe UI" w:eastAsia="Times New Roman" w:hAnsi="Segoe UI" w:cs="Segoe UI"/>
                <w:sz w:val="20"/>
                <w:szCs w:val="20"/>
                <w:lang w:eastAsia="es-CO"/>
              </w:rPr>
              <w:t>.</w:t>
            </w:r>
          </w:p>
          <w:p w:rsidR="005F3976" w:rsidRPr="005F3976" w:rsidRDefault="005F3976" w:rsidP="005F3976">
            <w:pPr>
              <w:spacing w:after="0" w:line="240" w:lineRule="auto"/>
              <w:jc w:val="both"/>
              <w:rPr>
                <w:rFonts w:ascii="Arial" w:eastAsia="Times New Roman" w:hAnsi="Arial" w:cs="Arial"/>
                <w:szCs w:val="24"/>
                <w:lang w:eastAsia="es-CO"/>
              </w:rPr>
            </w:pPr>
            <w:r w:rsidRPr="005F3976">
              <w:rPr>
                <w:rFonts w:ascii="Segoe UI" w:eastAsia="Times New Roman" w:hAnsi="Segoe UI" w:cs="Segoe UI"/>
                <w:sz w:val="20"/>
                <w:szCs w:val="20"/>
                <w:lang w:eastAsia="es-CO"/>
              </w:rPr>
              <w:t>Código Penal. Arts. 83, 86 y 402.</w:t>
            </w:r>
          </w:p>
        </w:tc>
      </w:tr>
    </w:tbl>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Cordial saludo:</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En atención al radicado de la referencia dentro del cual plantea una petición referida a la aplicación del delito denominado “Omisión del Agente Retenedor o Recaudador” extractando esta dependencia como como (sic) inquietudes se le informe ¿cuáles son las normas que habilitan a esta entidad para accionar penalmente por este delito? y ¿cuál es el término de prescripción de la acción penal para este punible?</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Además, expone el peticionario juicios de valor respecto de los cuales se solicitan explicaciones puntuales sobre el proceder de la administración tributaria ante la jurisdicción penal y acerca de la prelación de las obligaciones tributarias.</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En primer lugar,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Los que a su vez no tienen como fin solucionar problemáticas individuales, menos aún juzgar, valorar o asesorar a otras dependencias o a sujetos públicos y privados en el desarrollo de sus actividades, funciones y competencias. Por lo cual la consulta se responderá atendiendo al contexto general de la situación descrita y únicamente respecto a las inquietudes que ameritan brindar información jurídica o interpretación normativa.</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En segundo lugar, es ineludible indicar que, de conformidad con el Código Civil, artículo 11, la ley es obligatoria y surte sus efectos desde el día en que ella misma se designa, y en todo caso después de su promulgación, es así como la interpretación normativa se limita siempre a lo que la Ley consagra.</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Por esta razón los artículos 25 y subsiguientes, del precitado Código Civil Colombiano se refieren a la interpretación de la ley y estipulan los criterios normativos que deben seguirse por los funcionarios públicos para efectuarla, de modo que estos se convierten en la hoja de ruta para cumplir con la función interpretativa de esta entidad.</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Así las cosas, no es posible al intérprete desatender el tenor literal de la Ley so pretexto de consultar su espíritu, o armonizar el ordenamiento jurídico vigente debido a que esta facultad está limitada constitucional y legalmente al legislador, y en desarrollo de sus exigencias al Gobierno Nacional.</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De igual manera, no corresponde a este despacho explicar los motivos por los cuales el legislador crea las leyes, menos aún fungir como operadores judiciales, ampliar o restringir los preceptos legales vigentes.</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lastRenderedPageBreak/>
        <w:t>En tercer lugar, se contextualiza normativamente la solicitud trayendo a colación los artículos </w:t>
      </w:r>
      <w:hyperlink r:id="rId7" w:tooltip="Estatuto Tributario CETA" w:history="1">
        <w:r w:rsidRPr="005F3976">
          <w:rPr>
            <w:rFonts w:ascii="Segoe UI" w:eastAsia="Times New Roman" w:hAnsi="Segoe UI" w:cs="Segoe UI"/>
            <w:color w:val="0089E1"/>
            <w:sz w:val="18"/>
            <w:szCs w:val="18"/>
            <w:u w:val="single"/>
            <w:lang w:eastAsia="es-CO"/>
          </w:rPr>
          <w:t>368</w:t>
        </w:r>
      </w:hyperlink>
      <w:r w:rsidRPr="005F3976">
        <w:rPr>
          <w:rFonts w:ascii="Segoe UI" w:eastAsia="Times New Roman" w:hAnsi="Segoe UI" w:cs="Segoe UI"/>
          <w:color w:val="000000"/>
          <w:sz w:val="18"/>
          <w:szCs w:val="18"/>
          <w:lang w:eastAsia="es-CO"/>
        </w:rPr>
        <w:t>, </w:t>
      </w:r>
      <w:hyperlink r:id="rId8" w:tooltip="Estatuto Tributario CETA" w:history="1">
        <w:r w:rsidRPr="005F3976">
          <w:rPr>
            <w:rFonts w:ascii="Segoe UI" w:eastAsia="Times New Roman" w:hAnsi="Segoe UI" w:cs="Segoe UI"/>
            <w:color w:val="0089E1"/>
            <w:sz w:val="18"/>
            <w:szCs w:val="18"/>
            <w:u w:val="single"/>
            <w:lang w:eastAsia="es-CO"/>
          </w:rPr>
          <w:t>375</w:t>
        </w:r>
      </w:hyperlink>
      <w:r w:rsidRPr="005F3976">
        <w:rPr>
          <w:rFonts w:ascii="Segoe UI" w:eastAsia="Times New Roman" w:hAnsi="Segoe UI" w:cs="Segoe UI"/>
          <w:color w:val="000000"/>
          <w:sz w:val="18"/>
          <w:szCs w:val="18"/>
          <w:lang w:eastAsia="es-CO"/>
        </w:rPr>
        <w:t> y </w:t>
      </w:r>
      <w:hyperlink r:id="rId9" w:tooltip="Estatuto Tributario CETA" w:history="1">
        <w:r w:rsidRPr="005F3976">
          <w:rPr>
            <w:rFonts w:ascii="Segoe UI" w:eastAsia="Times New Roman" w:hAnsi="Segoe UI" w:cs="Segoe UI"/>
            <w:color w:val="0089E1"/>
            <w:sz w:val="18"/>
            <w:szCs w:val="18"/>
            <w:u w:val="single"/>
            <w:lang w:eastAsia="es-CO"/>
          </w:rPr>
          <w:t>665</w:t>
        </w:r>
      </w:hyperlink>
      <w:r w:rsidRPr="005F3976">
        <w:rPr>
          <w:rFonts w:ascii="Segoe UI" w:eastAsia="Times New Roman" w:hAnsi="Segoe UI" w:cs="Segoe UI"/>
          <w:color w:val="000000"/>
          <w:sz w:val="18"/>
          <w:szCs w:val="18"/>
          <w:lang w:eastAsia="es-CO"/>
        </w:rPr>
        <w:t> del Estatuto Tributario (ET). y los artículos 83, 86 y 402 del Código Penal (CP), que expresan entre otros aspectos, lo siguiente:</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“ESTATUTO TRIBUTARIO</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hyperlink r:id="rId10" w:tooltip="Estatuto Tributario CETA" w:history="1">
        <w:r w:rsidRPr="005F3976">
          <w:rPr>
            <w:rFonts w:ascii="Segoe UI" w:eastAsia="Times New Roman" w:hAnsi="Segoe UI" w:cs="Segoe UI"/>
            <w:b/>
            <w:bCs/>
            <w:i/>
            <w:iCs/>
            <w:color w:val="0089E1"/>
            <w:sz w:val="18"/>
            <w:szCs w:val="18"/>
            <w:u w:val="single"/>
            <w:lang w:eastAsia="es-CO"/>
          </w:rPr>
          <w:t>ARTÍCULO 368</w:t>
        </w:r>
      </w:hyperlink>
      <w:r w:rsidRPr="005F3976">
        <w:rPr>
          <w:rFonts w:ascii="Segoe UI" w:eastAsia="Times New Roman" w:hAnsi="Segoe UI" w:cs="Segoe UI"/>
          <w:b/>
          <w:bCs/>
          <w:i/>
          <w:iCs/>
          <w:color w:val="000000"/>
          <w:sz w:val="18"/>
          <w:szCs w:val="18"/>
          <w:lang w:eastAsia="es-CO"/>
        </w:rPr>
        <w:t>. QUIÉNES SON AGENTES DE RETENCIÓN. </w:t>
      </w:r>
      <w:r w:rsidRPr="005F3976">
        <w:rPr>
          <w:rFonts w:ascii="Segoe UI" w:eastAsia="Times New Roman" w:hAnsi="Segoe UI" w:cs="Segoe UI"/>
          <w:i/>
          <w:iCs/>
          <w:color w:val="000000"/>
          <w:sz w:val="18"/>
          <w:szCs w:val="18"/>
          <w:lang w:eastAsia="es-CO"/>
        </w:rPr>
        <w:t>Son agentes de retención o de percepción, las entidades de derecho público, los fondos de inversión, los fondos de valores, los fondos de pensiones de jubilación e invalidez, los consorcios, las comunidades organizadas, las uniones temporales y las </w:t>
      </w:r>
      <w:r w:rsidRPr="005F3976">
        <w:rPr>
          <w:rFonts w:ascii="Segoe UI" w:eastAsia="Times New Roman" w:hAnsi="Segoe UI" w:cs="Segoe UI"/>
          <w:i/>
          <w:iCs/>
          <w:color w:val="000000"/>
          <w:sz w:val="18"/>
          <w:szCs w:val="18"/>
          <w:u w:val="single"/>
          <w:lang w:eastAsia="es-CO"/>
        </w:rPr>
        <w:t>demás personas naturales o jurídicas</w:t>
      </w:r>
      <w:r w:rsidRPr="005F3976">
        <w:rPr>
          <w:rFonts w:ascii="Segoe UI" w:eastAsia="Times New Roman" w:hAnsi="Segoe UI" w:cs="Segoe UI"/>
          <w:i/>
          <w:iCs/>
          <w:color w:val="000000"/>
          <w:sz w:val="18"/>
          <w:szCs w:val="18"/>
          <w:lang w:eastAsia="es-CO"/>
        </w:rPr>
        <w:t>, sucesiones ilíquidas y sociedades de hecho, </w:t>
      </w:r>
      <w:r w:rsidRPr="005F3976">
        <w:rPr>
          <w:rFonts w:ascii="Segoe UI" w:eastAsia="Times New Roman" w:hAnsi="Segoe UI" w:cs="Segoe UI"/>
          <w:i/>
          <w:iCs/>
          <w:color w:val="000000"/>
          <w:sz w:val="18"/>
          <w:szCs w:val="18"/>
          <w:u w:val="single"/>
          <w:lang w:eastAsia="es-CO"/>
        </w:rPr>
        <w:t>que por sus funciones intervengan en actos u operaciones en los cuales deben, por expresa disposición legal, efectuar la retención o percepción del tributo correspondiente</w:t>
      </w: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hyperlink r:id="rId11" w:tooltip="Estatuto Tributario CETA" w:history="1">
        <w:r w:rsidRPr="005F3976">
          <w:rPr>
            <w:rFonts w:ascii="Segoe UI" w:eastAsia="Times New Roman" w:hAnsi="Segoe UI" w:cs="Segoe UI"/>
            <w:b/>
            <w:bCs/>
            <w:i/>
            <w:iCs/>
            <w:color w:val="0089E1"/>
            <w:sz w:val="18"/>
            <w:szCs w:val="18"/>
            <w:u w:val="single"/>
            <w:lang w:eastAsia="es-CO"/>
          </w:rPr>
          <w:t>ARTÍCULO 375</w:t>
        </w:r>
      </w:hyperlink>
      <w:r w:rsidRPr="005F3976">
        <w:rPr>
          <w:rFonts w:ascii="Segoe UI" w:eastAsia="Times New Roman" w:hAnsi="Segoe UI" w:cs="Segoe UI"/>
          <w:b/>
          <w:bCs/>
          <w:i/>
          <w:iCs/>
          <w:color w:val="000000"/>
          <w:sz w:val="18"/>
          <w:szCs w:val="18"/>
          <w:lang w:eastAsia="es-CO"/>
        </w:rPr>
        <w:t>. EFECTUAR LA RETENCIÓN. </w:t>
      </w:r>
      <w:r w:rsidRPr="005F3976">
        <w:rPr>
          <w:rFonts w:ascii="Segoe UI" w:eastAsia="Times New Roman" w:hAnsi="Segoe UI" w:cs="Segoe UI"/>
          <w:i/>
          <w:iCs/>
          <w:color w:val="000000"/>
          <w:sz w:val="18"/>
          <w:szCs w:val="18"/>
          <w:lang w:eastAsia="es-CO"/>
        </w:rPr>
        <w:t>Están obligados a efectuar la retención o percepción del tributo, los agentes de retención que por sus funciones intervengan en actos u operaciones en los cuales deben, por expresa disposición legal, efectuar dicha retención o percepción.</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hyperlink r:id="rId12" w:tooltip="Estatuto Tributario CETA" w:history="1">
        <w:r w:rsidRPr="005F3976">
          <w:rPr>
            <w:rFonts w:ascii="Segoe UI" w:eastAsia="Times New Roman" w:hAnsi="Segoe UI" w:cs="Segoe UI"/>
            <w:b/>
            <w:bCs/>
            <w:i/>
            <w:iCs/>
            <w:color w:val="0089E1"/>
            <w:sz w:val="18"/>
            <w:szCs w:val="18"/>
            <w:u w:val="single"/>
            <w:lang w:eastAsia="es-CO"/>
          </w:rPr>
          <w:t>ARTÍCULO 665</w:t>
        </w:r>
      </w:hyperlink>
      <w:r w:rsidRPr="005F3976">
        <w:rPr>
          <w:rFonts w:ascii="Segoe UI" w:eastAsia="Times New Roman" w:hAnsi="Segoe UI" w:cs="Segoe UI"/>
          <w:b/>
          <w:bCs/>
          <w:i/>
          <w:iCs/>
          <w:color w:val="000000"/>
          <w:sz w:val="18"/>
          <w:szCs w:val="18"/>
          <w:lang w:eastAsia="es-CO"/>
        </w:rPr>
        <w:t>. RESPONSABILIDAD PENAL POR NO CONSIGNAR LAS RETENCIONES EN LA FUENTE Y EL IVA.</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PARÁGRAFO. </w:t>
      </w:r>
      <w:r w:rsidRPr="005F3976">
        <w:rPr>
          <w:rFonts w:ascii="Segoe UI" w:eastAsia="Times New Roman" w:hAnsi="Segoe UI" w:cs="Segoe UI"/>
          <w:i/>
          <w:iCs/>
          <w:color w:val="000000"/>
          <w:sz w:val="18"/>
          <w:szCs w:val="18"/>
          <w:lang w:eastAsia="es-CO"/>
        </w:rPr>
        <w:t>Cuando el agente retenedor o responsable del impuesto a las ventas extinga en su totalidad la obligación tributaria, junto con sus correspondientes intereses y sanciones, mediante pago o compensación de las sumas adeudadas, no habrá lugar a responsabilidad penal. Tampoco habrá responsabilidad penal cuando el agente retenedor o responsable del impuesto sobre las ventas demuestre que ha suscrito un acuerdo de pago por las sumas debidas y que este se está cumpliendo en debida forma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“CÓDIGO PENAL</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DELITOS CONTRA LA ADMINISTRACIÓN PÚBLICA – CAPÍTULO PRIMERO – DEL PECULADO</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ARTÍCULO 83. TÉRMINO DE PRESCRIPCIÓN DE LA ACCIÓN PENAL. </w:t>
      </w:r>
      <w:r w:rsidRPr="005F3976">
        <w:rPr>
          <w:rFonts w:ascii="Segoe UI" w:eastAsia="Times New Roman" w:hAnsi="Segoe UI" w:cs="Segoe UI"/>
          <w:i/>
          <w:iCs/>
          <w:color w:val="000000"/>
          <w:sz w:val="18"/>
          <w:szCs w:val="18"/>
          <w:lang w:eastAsia="es-CO"/>
        </w:rPr>
        <w:t>La acción penal prescribirá en un tiempo igual al máximo de la pena fijada en la ley, si fuere privativa de la libertad, pero en ningún caso será inferior a cinco (5) años, ni excederá de veinte (20), salvo lo dispuesto en el inciso siguiente de este artículo.</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El término de prescripción para las conductas punibles de desaparición forzada, tortura, homicidio de miembro de una organización sindical, homicidio de defensor de Derechos Humanos, homicidio de periodista y desplazamiento forzado será de treinta (30) años. En las conductas punibles de ejecución permanente el término de prescripción comenzará a correr desde la perpetración del último acto. La acción penal para los delitos de genocidio, lesa humanidad y crímenes de guerra será imprescriptible.</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Cuando se trate de delitos contra la libertad, integridad y formación sexuales, o el delito consagrado en el artículo 237, cometidos en menores de edad, la acción penal prescribirá en veinte (20) años contados a partir del momento en que la víctima alcance la mayoría de edad.</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En las conductas punibles que tengan señalada pena no privativa de la libertad, la acción penal prescribirá en cinco (5) años.</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Para este efecto se tendrán en cuenta las causales sustanciales modificadoras de la punibilidad.</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Al servidor público que en ejercicio de las funciones de su cargo o con ocasión de ellas realice una conducta punible o participe en ella, el término de prescripción se aumentará en la mitad. Lo anterior se aplicará también en relación con los particulares que ejerzan funciones públicas en forma permanente o transitoria y de quienes obren como agentes retenedores o recaudadores.</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También se aumentará el término de prescripción, en la mitad, cuando la conducta punible se hubiere iniciado o consumado en el exterior.</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En todo caso, cuando se aumente el término de prescripción, no se excederá el límite máximo fijado.</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ARTÍCULO 86. INTERRUPCIÓN Y SUSPENSIÓN DEL TÉRMINO PRESCRIPTIVO DE LA ACCIÓN. </w:t>
      </w:r>
      <w:r w:rsidRPr="005F3976">
        <w:rPr>
          <w:rFonts w:ascii="Segoe UI" w:eastAsia="Times New Roman" w:hAnsi="Segoe UI" w:cs="Segoe UI"/>
          <w:i/>
          <w:iCs/>
          <w:color w:val="000000"/>
          <w:sz w:val="18"/>
          <w:szCs w:val="18"/>
          <w:lang w:eastAsia="es-CO"/>
        </w:rPr>
        <w:t>La prescripción de la acción penal se interrumpe con la formulación de la imputación.</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Producida la interrupción del término prescriptivo, este comenzará a correr de nuevo por un tiempo igual a la mitad del señalado en el artículo 83. En este evento el término no podrá ser inferior a cinco (5) años, ni superior a diez (10).</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lastRenderedPageBreak/>
        <w:t>ARTÍCULO 402. OMISIÓN DEL AGENTE RETENEDOR O RECAUDADOR.</w:t>
      </w:r>
      <w:r w:rsidRPr="005F3976">
        <w:rPr>
          <w:rFonts w:ascii="Segoe UI" w:eastAsia="Times New Roman" w:hAnsi="Segoe UI" w:cs="Segoe UI"/>
          <w:i/>
          <w:iCs/>
          <w:color w:val="000000"/>
          <w:sz w:val="18"/>
          <w:szCs w:val="18"/>
          <w:lang w:eastAsia="es-CO"/>
        </w:rPr>
        <w:t xml:space="preserve"> El agente retenedor o </w:t>
      </w:r>
      <w:proofErr w:type="spellStart"/>
      <w:r w:rsidRPr="005F3976">
        <w:rPr>
          <w:rFonts w:ascii="Segoe UI" w:eastAsia="Times New Roman" w:hAnsi="Segoe UI" w:cs="Segoe UI"/>
          <w:i/>
          <w:iCs/>
          <w:color w:val="000000"/>
          <w:sz w:val="18"/>
          <w:szCs w:val="18"/>
          <w:lang w:eastAsia="es-CO"/>
        </w:rPr>
        <w:t>autorretendor</w:t>
      </w:r>
      <w:proofErr w:type="spellEnd"/>
      <w:r w:rsidRPr="005F3976">
        <w:rPr>
          <w:rFonts w:ascii="Segoe UI" w:eastAsia="Times New Roman" w:hAnsi="Segoe UI" w:cs="Segoe UI"/>
          <w:i/>
          <w:iCs/>
          <w:color w:val="000000"/>
          <w:sz w:val="18"/>
          <w:szCs w:val="18"/>
          <w:lang w:eastAsia="es-CO"/>
        </w:rPr>
        <w:t xml:space="preserve"> (sic) que no consigne las sumas retenidas o </w:t>
      </w:r>
      <w:proofErr w:type="spellStart"/>
      <w:r w:rsidRPr="005F3976">
        <w:rPr>
          <w:rFonts w:ascii="Segoe UI" w:eastAsia="Times New Roman" w:hAnsi="Segoe UI" w:cs="Segoe UI"/>
          <w:i/>
          <w:iCs/>
          <w:color w:val="000000"/>
          <w:sz w:val="18"/>
          <w:szCs w:val="18"/>
          <w:lang w:eastAsia="es-CO"/>
        </w:rPr>
        <w:t>autorretenidas</w:t>
      </w:r>
      <w:proofErr w:type="spellEnd"/>
      <w:r w:rsidRPr="005F3976">
        <w:rPr>
          <w:rFonts w:ascii="Segoe UI" w:eastAsia="Times New Roman" w:hAnsi="Segoe UI" w:cs="Segoe UI"/>
          <w:i/>
          <w:iCs/>
          <w:color w:val="000000"/>
          <w:sz w:val="18"/>
          <w:szCs w:val="18"/>
          <w:lang w:eastAsia="es-CO"/>
        </w:rPr>
        <w:t xml:space="preserve">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cuarenta (sic) (48) a ciento ocho (108) meses y multa equivalente al doble de lo no consignado sin que supere el equivalente a 1.020.000 UVT.</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En la misma sanción incurrirá el responsable del impuesto sobre las ventas o el impuesto nacional al consumo que, </w:t>
      </w:r>
      <w:r w:rsidRPr="005F3976">
        <w:rPr>
          <w:rFonts w:ascii="Segoe UI" w:eastAsia="Times New Roman" w:hAnsi="Segoe UI" w:cs="Segoe UI"/>
          <w:i/>
          <w:iCs/>
          <w:color w:val="000000"/>
          <w:sz w:val="18"/>
          <w:szCs w:val="18"/>
          <w:u w:val="single"/>
          <w:lang w:eastAsia="es-CO"/>
        </w:rPr>
        <w:t>teniendo la obligación legal de hacerlo</w:t>
      </w:r>
      <w:r w:rsidRPr="005F3976">
        <w:rPr>
          <w:rFonts w:ascii="Segoe UI" w:eastAsia="Times New Roman" w:hAnsi="Segoe UI" w:cs="Segoe UI"/>
          <w:i/>
          <w:iCs/>
          <w:color w:val="000000"/>
          <w:sz w:val="18"/>
          <w:szCs w:val="18"/>
          <w:lang w:eastAsia="es-CO"/>
        </w:rPr>
        <w:t>, no consigne las sumas recaudadas por dicho concepto, dentro de los dos (2) meses siguientes a la fecha fijada por el Gobierno Nacional para la presentación y pago de la respectiva declaración del impuesto sobre las ventas.</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El agente retenedor o el responsable del impuesto sobre las ventas o el impuesto nacional al consumo que omita la obligación de cobrar y recaudar estos impuestos, estando obligado a ello, incurrirá en la misma pena prevista en este artículo.</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i/>
          <w:iCs/>
          <w:color w:val="000000"/>
          <w:sz w:val="18"/>
          <w:szCs w:val="18"/>
          <w:lang w:eastAsia="es-CO"/>
        </w:rPr>
        <w:t>Tratándose de sociedades u otras entidades, quedan sometidas a esas mismas sanciones las personas naturales encargadas en cada entidad del cumplimiento de dichas obligaciones.</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 </w:t>
      </w:r>
    </w:p>
    <w:p w:rsidR="005F3976" w:rsidRPr="005F3976" w:rsidRDefault="005F3976" w:rsidP="005F3976">
      <w:pPr>
        <w:spacing w:after="0" w:line="240" w:lineRule="auto"/>
        <w:ind w:left="180"/>
        <w:jc w:val="both"/>
        <w:rPr>
          <w:rFonts w:ascii="Arial" w:eastAsia="Times New Roman" w:hAnsi="Arial" w:cs="Arial"/>
          <w:color w:val="000000"/>
          <w:sz w:val="18"/>
          <w:szCs w:val="18"/>
          <w:lang w:eastAsia="es-CO"/>
        </w:rPr>
      </w:pPr>
      <w:r w:rsidRPr="005F3976">
        <w:rPr>
          <w:rFonts w:ascii="Segoe UI" w:eastAsia="Times New Roman" w:hAnsi="Segoe UI" w:cs="Segoe UI"/>
          <w:b/>
          <w:bCs/>
          <w:i/>
          <w:iCs/>
          <w:color w:val="000000"/>
          <w:sz w:val="18"/>
          <w:szCs w:val="18"/>
          <w:lang w:eastAsia="es-CO"/>
        </w:rPr>
        <w:t>PARÁGRAFO. </w:t>
      </w:r>
      <w:r w:rsidRPr="005F3976">
        <w:rPr>
          <w:rFonts w:ascii="Segoe UI" w:eastAsia="Times New Roman" w:hAnsi="Segoe UI" w:cs="Segoe UI"/>
          <w:i/>
          <w:iCs/>
          <w:color w:val="000000"/>
          <w:sz w:val="18"/>
          <w:szCs w:val="18"/>
          <w:lang w:eastAsia="es-CO"/>
        </w:rPr>
        <w:t xml:space="preserve">El agente retenedor o </w:t>
      </w:r>
      <w:proofErr w:type="spellStart"/>
      <w:r w:rsidRPr="005F3976">
        <w:rPr>
          <w:rFonts w:ascii="Segoe UI" w:eastAsia="Times New Roman" w:hAnsi="Segoe UI" w:cs="Segoe UI"/>
          <w:i/>
          <w:iCs/>
          <w:color w:val="000000"/>
          <w:sz w:val="18"/>
          <w:szCs w:val="18"/>
          <w:lang w:eastAsia="es-CO"/>
        </w:rPr>
        <w:t>autorretenedor</w:t>
      </w:r>
      <w:proofErr w:type="spellEnd"/>
      <w:r w:rsidRPr="005F3976">
        <w:rPr>
          <w:rFonts w:ascii="Segoe UI" w:eastAsia="Times New Roman" w:hAnsi="Segoe UI" w:cs="Segoe UI"/>
          <w:i/>
          <w:iCs/>
          <w:color w:val="000000"/>
          <w:sz w:val="18"/>
          <w:szCs w:val="18"/>
          <w:lang w:eastAsia="es-CO"/>
        </w:rPr>
        <w:t>, responsable del impuesto a las ventas, el impuesto nacional al consumo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hubiere iniciado por tal motivo, sin perjuicio de las sanciones administrativas a que haya lugar (…)”. </w:t>
      </w:r>
      <w:r w:rsidRPr="005F3976">
        <w:rPr>
          <w:rFonts w:ascii="Segoe UI" w:eastAsia="Times New Roman" w:hAnsi="Segoe UI" w:cs="Segoe UI"/>
          <w:color w:val="000000"/>
          <w:sz w:val="18"/>
          <w:szCs w:val="18"/>
          <w:lang w:eastAsia="es-CO"/>
        </w:rPr>
        <w:t>(Negritas y subrayas fuera de texto).</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De los preceptos legales trascritos se observa claramente que el delito objeto de estudio, se encuentra estipulado en la legislación nacional, el mismo como tipo penal autónomo fue creado por la Ley 599 de 2000 y ha sufrido varias modificaciones, siendo la última la proferida con la Ley 1819 de 2016.</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Así las cosas, desde el año 2000 existe el precitado delito –como tipo autónomo- dentro de la legislación penal y, por ende, la administración tributaria está facultada desde mencionada anualidad para instaurar las acciones penales que considere pertinentes por la presunta comisión de este punible, toda vez que dentro de él la víctima es la Administración Pública, representada por esta entidad.</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En este punto, vale la pena reiterar que: </w:t>
      </w:r>
      <w:r w:rsidRPr="005F3976">
        <w:rPr>
          <w:rFonts w:ascii="Segoe UI" w:eastAsia="Times New Roman" w:hAnsi="Segoe UI" w:cs="Segoe UI"/>
          <w:i/>
          <w:iCs/>
          <w:color w:val="000000"/>
          <w:sz w:val="18"/>
          <w:szCs w:val="18"/>
          <w:lang w:eastAsia="es-CO"/>
        </w:rPr>
        <w:t xml:space="preserve">“la responsabilidad penal del agente retenedor o </w:t>
      </w:r>
      <w:proofErr w:type="spellStart"/>
      <w:r w:rsidRPr="005F3976">
        <w:rPr>
          <w:rFonts w:ascii="Segoe UI" w:eastAsia="Times New Roman" w:hAnsi="Segoe UI" w:cs="Segoe UI"/>
          <w:i/>
          <w:iCs/>
          <w:color w:val="000000"/>
          <w:sz w:val="18"/>
          <w:szCs w:val="18"/>
          <w:lang w:eastAsia="es-CO"/>
        </w:rPr>
        <w:t>autorretenedor</w:t>
      </w:r>
      <w:proofErr w:type="spellEnd"/>
      <w:r w:rsidRPr="005F3976">
        <w:rPr>
          <w:rFonts w:ascii="Segoe UI" w:eastAsia="Times New Roman" w:hAnsi="Segoe UI" w:cs="Segoe UI"/>
          <w:i/>
          <w:iCs/>
          <w:color w:val="000000"/>
          <w:sz w:val="18"/>
          <w:szCs w:val="18"/>
          <w:lang w:eastAsia="es-CO"/>
        </w:rPr>
        <w:t>, deriva a su vez de la responsabilidad administrativa que este ostenta en razón a sus obligaciones legales especiales, asignadas por la ley tributaria –reseñadas en las normas previamente citadas- por lo cual el régimen de responsabilidad no se limita al derecho al derecho (sic) privado debido a que su génesis deviene de obligaciones públicas” </w:t>
      </w:r>
      <w:r w:rsidRPr="005F3976">
        <w:rPr>
          <w:rFonts w:ascii="Segoe UI" w:eastAsia="Times New Roman" w:hAnsi="Segoe UI" w:cs="Segoe UI"/>
          <w:color w:val="000000"/>
          <w:sz w:val="18"/>
          <w:szCs w:val="18"/>
          <w:lang w:eastAsia="es-CO"/>
        </w:rPr>
        <w:t>(Oficio 000060 de 2019).</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Ahora bien, respecto a la prescripción de esta conducta punible, el artículo 83 del Código Penal precitado, expresa que será un tiempo igual al máximo de la pena fijado en la ley cuando esta sea privativa de la libertad.</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De modo que, siendo el máximo de pena 108 meses, es decir nueve años, este es el término de prescripción del punible objeto de consulta.</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De otro lado, debe destacarse que, de conformidad con el artículo 86 del mismo compendio normativo, este término se interrumpe con la formulación de imputación y comienza a correr de nuevo por un tiempo igual a la mitad del señalado en el artículo 83, para el caso de estudio por un término igual a cuatro años y medio.</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Atentamente,</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 </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b/>
          <w:bCs/>
          <w:color w:val="000000"/>
          <w:sz w:val="18"/>
          <w:szCs w:val="18"/>
          <w:lang w:eastAsia="es-CO"/>
        </w:rPr>
        <w:t>LORENZO CASTILLO BARVO</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Subdirector de Gestión Normativa y Doctrina (E)</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Dirección de Gestión Jurídica</w:t>
      </w:r>
    </w:p>
    <w:p w:rsidR="005F3976" w:rsidRPr="005F3976" w:rsidRDefault="005F3976" w:rsidP="005F3976">
      <w:pPr>
        <w:spacing w:after="0" w:line="240" w:lineRule="auto"/>
        <w:jc w:val="both"/>
        <w:rPr>
          <w:rFonts w:ascii="Arial" w:eastAsia="Times New Roman" w:hAnsi="Arial" w:cs="Arial"/>
          <w:color w:val="000000"/>
          <w:sz w:val="18"/>
          <w:szCs w:val="18"/>
          <w:lang w:eastAsia="es-CO"/>
        </w:rPr>
      </w:pPr>
      <w:r w:rsidRPr="005F3976">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76"/>
    <w:rsid w:val="005F3976"/>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0455"/>
  <w15:chartTrackingRefBased/>
  <w15:docId w15:val="{7E47B8BE-BDB8-4F14-8DBC-F6A43519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3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6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459" TargetMode="External"/><Relationship Id="rId12" Type="http://schemas.openxmlformats.org/officeDocument/2006/relationships/hyperlink" Target="https://www.ceta.org.co/html/vista_de_un_articulo.asp?Norma=8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28" TargetMode="External"/><Relationship Id="rId11" Type="http://schemas.openxmlformats.org/officeDocument/2006/relationships/hyperlink" Target="https://www.ceta.org.co/html/vista_de_un_articulo.asp?Norma=468" TargetMode="External"/><Relationship Id="rId5" Type="http://schemas.openxmlformats.org/officeDocument/2006/relationships/hyperlink" Target="https://www.ceta.org.co/html/vista_de_un_articulo.asp?Norma=468" TargetMode="External"/><Relationship Id="rId10" Type="http://schemas.openxmlformats.org/officeDocument/2006/relationships/hyperlink" Target="https://www.ceta.org.co/html/vista_de_un_articulo.asp?Norma=459" TargetMode="External"/><Relationship Id="rId4" Type="http://schemas.openxmlformats.org/officeDocument/2006/relationships/hyperlink" Target="https://www.ceta.org.co/html/vista_de_un_articulo.asp?Norma=459" TargetMode="External"/><Relationship Id="rId9" Type="http://schemas.openxmlformats.org/officeDocument/2006/relationships/hyperlink" Target="https://www.ceta.org.co/html/vista_de_un_articulo.asp?Norma=828"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1949</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2019-06-26T01:55:00Z</dcterms:created>
  <dcterms:modified xsi:type="dcterms:W3CDTF">2019-06-26T01:56:00Z</dcterms:modified>
</cp:coreProperties>
</file>