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F8" w:rsidRPr="00036CF8" w:rsidRDefault="00036CF8" w:rsidP="00036CF8">
      <w:pPr>
        <w:spacing w:line="240" w:lineRule="auto"/>
        <w:jc w:val="center"/>
        <w:rPr>
          <w:rFonts w:eastAsia="Times New Roman" w:cs="Times New Roman"/>
          <w:b/>
          <w:bCs/>
          <w:szCs w:val="24"/>
          <w:lang w:eastAsia="es-CO"/>
        </w:rPr>
      </w:pPr>
    </w:p>
    <w:p w:rsidR="00036CF8" w:rsidRPr="00036CF8" w:rsidRDefault="00036CF8" w:rsidP="00036CF8">
      <w:pPr>
        <w:spacing w:line="240" w:lineRule="auto"/>
        <w:jc w:val="center"/>
        <w:rPr>
          <w:rFonts w:eastAsia="Times New Roman" w:cs="Times New Roman"/>
          <w:b/>
          <w:szCs w:val="24"/>
          <w:lang w:eastAsia="es-CO"/>
        </w:rPr>
      </w:pPr>
      <w:r w:rsidRPr="00036CF8">
        <w:rPr>
          <w:rFonts w:eastAsia="Times New Roman" w:cs="Times New Roman"/>
          <w:b/>
          <w:bCs/>
          <w:szCs w:val="24"/>
          <w:lang w:eastAsia="es-CO"/>
        </w:rPr>
        <w:t>OFICIO N° 005852</w:t>
      </w:r>
    </w:p>
    <w:p w:rsidR="00036CF8" w:rsidRPr="00036CF8" w:rsidRDefault="00036CF8" w:rsidP="00036CF8">
      <w:pPr>
        <w:spacing w:line="240" w:lineRule="auto"/>
        <w:jc w:val="center"/>
        <w:rPr>
          <w:rFonts w:eastAsia="Times New Roman" w:cs="Times New Roman"/>
          <w:b/>
          <w:szCs w:val="24"/>
          <w:lang w:eastAsia="es-CO"/>
        </w:rPr>
      </w:pPr>
      <w:r w:rsidRPr="00036CF8">
        <w:rPr>
          <w:rFonts w:eastAsia="Times New Roman" w:cs="Times New Roman"/>
          <w:b/>
          <w:szCs w:val="24"/>
          <w:lang w:eastAsia="es-CO"/>
        </w:rPr>
        <w:t>02-10-</w:t>
      </w:r>
      <w:r w:rsidRPr="00036CF8">
        <w:rPr>
          <w:rFonts w:eastAsia="Times New Roman" w:cs="Times New Roman"/>
          <w:b/>
          <w:bCs/>
          <w:szCs w:val="24"/>
          <w:lang w:eastAsia="es-CO"/>
        </w:rPr>
        <w:t>2014</w:t>
      </w:r>
    </w:p>
    <w:p w:rsidR="00036CF8" w:rsidRPr="00036CF8" w:rsidRDefault="00036CF8" w:rsidP="00036CF8">
      <w:pPr>
        <w:spacing w:line="240" w:lineRule="auto"/>
        <w:jc w:val="center"/>
        <w:rPr>
          <w:rFonts w:eastAsia="Times New Roman" w:cs="Times New Roman"/>
          <w:b/>
          <w:szCs w:val="24"/>
          <w:lang w:eastAsia="es-CO"/>
        </w:rPr>
      </w:pPr>
      <w:r w:rsidRPr="00036CF8">
        <w:rPr>
          <w:rFonts w:eastAsia="Times New Roman" w:cs="Times New Roman"/>
          <w:b/>
          <w:szCs w:val="24"/>
          <w:lang w:eastAsia="es-CO"/>
        </w:rPr>
        <w:t>DIAN</w:t>
      </w:r>
    </w:p>
    <w:p w:rsidR="00036CF8" w:rsidRPr="00036CF8" w:rsidRDefault="00036CF8" w:rsidP="00036CF8">
      <w:pPr>
        <w:spacing w:line="240" w:lineRule="auto"/>
        <w:rPr>
          <w:rFonts w:eastAsia="Times New Roman" w:cs="Times New Roman"/>
          <w:b/>
          <w:szCs w:val="24"/>
          <w:lang w:eastAsia="es-CO"/>
        </w:rPr>
      </w:pPr>
    </w:p>
    <w:p w:rsidR="00036CF8" w:rsidRPr="00036CF8" w:rsidRDefault="00036CF8" w:rsidP="00036CF8">
      <w:pPr>
        <w:spacing w:line="240" w:lineRule="auto"/>
        <w:rPr>
          <w:rFonts w:eastAsia="Times New Roman" w:cs="Times New Roman"/>
          <w:b/>
          <w:szCs w:val="24"/>
          <w:lang w:eastAsia="es-CO"/>
        </w:rPr>
      </w:pPr>
    </w:p>
    <w:p w:rsidR="00036CF8" w:rsidRPr="00036CF8" w:rsidRDefault="00036CF8" w:rsidP="00036CF8">
      <w:pPr>
        <w:spacing w:line="240" w:lineRule="auto"/>
        <w:rPr>
          <w:rFonts w:eastAsia="Times New Roman" w:cs="Times New Roman"/>
          <w:szCs w:val="24"/>
          <w:lang w:eastAsia="es-CO"/>
        </w:rPr>
      </w:pPr>
      <w:r w:rsidRPr="00036CF8">
        <w:rPr>
          <w:rFonts w:eastAsia="Times New Roman" w:cs="Times New Roman"/>
          <w:szCs w:val="24"/>
          <w:lang w:eastAsia="es-CO"/>
        </w:rPr>
        <w:t>Bogotá, D. C.</w:t>
      </w:r>
    </w:p>
    <w:p w:rsidR="00036CF8" w:rsidRPr="00036CF8" w:rsidRDefault="00036CF8" w:rsidP="00036CF8">
      <w:pPr>
        <w:spacing w:line="240" w:lineRule="auto"/>
        <w:rPr>
          <w:rFonts w:eastAsia="Times New Roman" w:cs="Times New Roman"/>
          <w:szCs w:val="24"/>
          <w:lang w:eastAsia="es-CO"/>
        </w:rPr>
      </w:pPr>
      <w:r w:rsidRPr="00036CF8">
        <w:rPr>
          <w:rFonts w:eastAsia="Times New Roman" w:cs="Times New Roman"/>
          <w:szCs w:val="24"/>
          <w:lang w:eastAsia="es-CO"/>
        </w:rPr>
        <w:t>100202208-1209</w:t>
      </w:r>
    </w:p>
    <w:p w:rsidR="00036CF8" w:rsidRPr="00036CF8" w:rsidRDefault="00036CF8" w:rsidP="00036CF8">
      <w:pPr>
        <w:spacing w:line="240" w:lineRule="auto"/>
        <w:rPr>
          <w:rFonts w:eastAsia="Times New Roman" w:cs="Times New Roman"/>
          <w:szCs w:val="24"/>
          <w:lang w:eastAsia="es-CO"/>
        </w:rPr>
      </w:pPr>
    </w:p>
    <w:p w:rsidR="00036CF8" w:rsidRPr="00036CF8" w:rsidRDefault="00036CF8" w:rsidP="00036CF8">
      <w:pPr>
        <w:spacing w:line="240" w:lineRule="auto"/>
        <w:rPr>
          <w:rFonts w:eastAsia="Times New Roman" w:cs="Times New Roman"/>
          <w:szCs w:val="24"/>
          <w:lang w:eastAsia="es-CO"/>
        </w:rPr>
      </w:pPr>
      <w:r w:rsidRPr="00036CF8">
        <w:rPr>
          <w:rFonts w:eastAsia="Times New Roman" w:cs="Times New Roman"/>
          <w:szCs w:val="24"/>
          <w:lang w:eastAsia="es-CO"/>
        </w:rPr>
        <w:t>Doctora</w:t>
      </w:r>
    </w:p>
    <w:p w:rsidR="00036CF8" w:rsidRPr="00036CF8" w:rsidRDefault="00036CF8" w:rsidP="00036CF8">
      <w:pPr>
        <w:spacing w:line="240" w:lineRule="auto"/>
        <w:rPr>
          <w:rFonts w:eastAsia="Times New Roman" w:cs="Times New Roman"/>
          <w:b/>
          <w:szCs w:val="24"/>
          <w:lang w:eastAsia="es-CO"/>
        </w:rPr>
      </w:pPr>
      <w:r w:rsidRPr="00036CF8">
        <w:rPr>
          <w:rFonts w:eastAsia="Times New Roman" w:cs="Times New Roman"/>
          <w:b/>
          <w:szCs w:val="24"/>
          <w:lang w:eastAsia="es-CO"/>
        </w:rPr>
        <w:t>SONIA VICTORIA ROBLES MARIUM</w:t>
      </w:r>
    </w:p>
    <w:p w:rsidR="00036CF8" w:rsidRPr="00036CF8" w:rsidRDefault="00036CF8" w:rsidP="00036CF8">
      <w:pPr>
        <w:spacing w:line="240" w:lineRule="auto"/>
        <w:rPr>
          <w:rFonts w:eastAsia="Times New Roman" w:cs="Times New Roman"/>
          <w:szCs w:val="24"/>
          <w:lang w:eastAsia="es-CO"/>
        </w:rPr>
      </w:pPr>
      <w:r w:rsidRPr="00036CF8">
        <w:rPr>
          <w:rFonts w:eastAsia="Times New Roman" w:cs="Times New Roman"/>
          <w:szCs w:val="24"/>
          <w:lang w:eastAsia="es-CO"/>
        </w:rPr>
        <w:t>Jefe Coordinación Dinámica de Procesos</w:t>
      </w:r>
    </w:p>
    <w:p w:rsidR="00036CF8" w:rsidRPr="00036CF8" w:rsidRDefault="00036CF8" w:rsidP="00036CF8">
      <w:pPr>
        <w:spacing w:line="240" w:lineRule="auto"/>
        <w:rPr>
          <w:rFonts w:eastAsia="Times New Roman" w:cs="Times New Roman"/>
          <w:szCs w:val="24"/>
          <w:lang w:eastAsia="es-CO"/>
        </w:rPr>
      </w:pPr>
      <w:r w:rsidRPr="00036CF8">
        <w:rPr>
          <w:rFonts w:eastAsia="Times New Roman" w:cs="Times New Roman"/>
          <w:szCs w:val="24"/>
          <w:lang w:eastAsia="es-CO"/>
        </w:rPr>
        <w:t>Subdirección de Gestión de Procesos y Competencias Laborales</w:t>
      </w:r>
    </w:p>
    <w:p w:rsidR="00036CF8" w:rsidRPr="00036CF8" w:rsidRDefault="00036CF8" w:rsidP="00036CF8">
      <w:pPr>
        <w:spacing w:line="240" w:lineRule="auto"/>
        <w:rPr>
          <w:rFonts w:eastAsia="Times New Roman" w:cs="Times New Roman"/>
          <w:szCs w:val="24"/>
          <w:lang w:eastAsia="es-CO"/>
        </w:rPr>
      </w:pPr>
      <w:r w:rsidRPr="00036CF8">
        <w:rPr>
          <w:rFonts w:eastAsia="Times New Roman" w:cs="Times New Roman"/>
          <w:szCs w:val="24"/>
          <w:lang w:eastAsia="es-CO"/>
        </w:rPr>
        <w:t>Bogotá, D. C.</w:t>
      </w:r>
    </w:p>
    <w:p w:rsidR="00036CF8" w:rsidRPr="00036CF8" w:rsidRDefault="00036CF8" w:rsidP="00036CF8">
      <w:pPr>
        <w:spacing w:line="240" w:lineRule="auto"/>
        <w:rPr>
          <w:rFonts w:eastAsia="Times New Roman" w:cs="Times New Roman"/>
          <w:szCs w:val="24"/>
          <w:lang w:eastAsia="es-CO"/>
        </w:rPr>
      </w:pPr>
    </w:p>
    <w:p w:rsidR="00036CF8" w:rsidRPr="00036CF8" w:rsidRDefault="00036CF8" w:rsidP="00036CF8">
      <w:pPr>
        <w:spacing w:line="240" w:lineRule="auto"/>
        <w:rPr>
          <w:rFonts w:eastAsia="Times New Roman" w:cs="Times New Roman"/>
          <w:szCs w:val="24"/>
          <w:lang w:eastAsia="es-CO"/>
        </w:rPr>
      </w:pPr>
      <w:r w:rsidRPr="00036CF8">
        <w:rPr>
          <w:rFonts w:eastAsia="Times New Roman" w:cs="Times New Roman"/>
          <w:b/>
          <w:szCs w:val="24"/>
          <w:lang w:eastAsia="es-CO"/>
        </w:rPr>
        <w:t>Referencia:</w:t>
      </w:r>
      <w:r w:rsidRPr="00036CF8">
        <w:rPr>
          <w:rFonts w:eastAsia="Times New Roman" w:cs="Times New Roman"/>
          <w:szCs w:val="24"/>
          <w:lang w:eastAsia="es-CO"/>
        </w:rPr>
        <w:t xml:space="preserve"> Radicado 100208221-0064 del 24/09/2014</w:t>
      </w:r>
    </w:p>
    <w:p w:rsidR="00036CF8" w:rsidRPr="00036CF8" w:rsidRDefault="00036CF8" w:rsidP="00036CF8">
      <w:pPr>
        <w:spacing w:line="240" w:lineRule="auto"/>
        <w:rPr>
          <w:rFonts w:eastAsia="Times New Roman" w:cs="Times New Roman"/>
          <w:szCs w:val="24"/>
          <w:lang w:eastAsia="es-CO"/>
        </w:rPr>
      </w:pPr>
    </w:p>
    <w:p w:rsidR="00036CF8" w:rsidRPr="00036CF8" w:rsidRDefault="00036CF8" w:rsidP="00036CF8">
      <w:pPr>
        <w:spacing w:line="240" w:lineRule="auto"/>
        <w:rPr>
          <w:rFonts w:eastAsia="Times New Roman" w:cs="Times New Roman"/>
          <w:szCs w:val="24"/>
          <w:lang w:eastAsia="es-CO"/>
        </w:rPr>
      </w:pPr>
      <w:r w:rsidRPr="00036CF8">
        <w:rPr>
          <w:rFonts w:eastAsia="Times New Roman" w:cs="Times New Roman"/>
          <w:b/>
          <w:bCs/>
          <w:szCs w:val="24"/>
          <w:lang w:eastAsia="es-CO"/>
        </w:rPr>
        <w:t>Tema</w:t>
      </w:r>
      <w:r w:rsidRPr="00036CF8">
        <w:rPr>
          <w:rFonts w:eastAsia="Times New Roman" w:cs="Times New Roman"/>
          <w:szCs w:val="24"/>
          <w:lang w:eastAsia="es-CO"/>
        </w:rPr>
        <w:t xml:space="preserve"> Procedimiento Tributario</w:t>
      </w:r>
    </w:p>
    <w:p w:rsidR="00036CF8" w:rsidRPr="00036CF8" w:rsidRDefault="00036CF8" w:rsidP="00036CF8">
      <w:pPr>
        <w:spacing w:line="240" w:lineRule="auto"/>
        <w:rPr>
          <w:rFonts w:eastAsia="Times New Roman" w:cs="Times New Roman"/>
          <w:szCs w:val="24"/>
          <w:lang w:eastAsia="es-CO"/>
        </w:rPr>
      </w:pPr>
      <w:r w:rsidRPr="00036CF8">
        <w:rPr>
          <w:rFonts w:eastAsia="Times New Roman" w:cs="Times New Roman"/>
          <w:b/>
          <w:szCs w:val="24"/>
          <w:lang w:eastAsia="es-CO"/>
        </w:rPr>
        <w:t>Descriptores</w:t>
      </w:r>
      <w:r w:rsidRPr="00036CF8">
        <w:rPr>
          <w:rFonts w:eastAsia="Times New Roman" w:cs="Times New Roman"/>
          <w:szCs w:val="24"/>
          <w:lang w:eastAsia="es-CO"/>
        </w:rPr>
        <w:t xml:space="preserve"> Contribuyentes no Obligados a Presentar Declaración de Renta y Complementarios; Contribuyentes Obligados a Declarar Impuesto Sobre la Renta y Complementarios</w:t>
      </w:r>
    </w:p>
    <w:p w:rsidR="00036CF8" w:rsidRPr="00036CF8" w:rsidRDefault="00036CF8" w:rsidP="00036CF8">
      <w:pPr>
        <w:spacing w:line="240" w:lineRule="auto"/>
        <w:rPr>
          <w:rFonts w:eastAsia="Times New Roman" w:cs="Times New Roman"/>
          <w:szCs w:val="24"/>
          <w:lang w:eastAsia="es-CO"/>
        </w:rPr>
      </w:pPr>
      <w:r w:rsidRPr="00036CF8">
        <w:rPr>
          <w:rFonts w:eastAsia="Times New Roman" w:cs="Times New Roman"/>
          <w:b/>
          <w:szCs w:val="24"/>
          <w:lang w:eastAsia="es-CO"/>
        </w:rPr>
        <w:t>Fuentes formales</w:t>
      </w:r>
      <w:r w:rsidRPr="00036CF8">
        <w:rPr>
          <w:rFonts w:eastAsia="Times New Roman" w:cs="Times New Roman"/>
          <w:szCs w:val="24"/>
          <w:lang w:eastAsia="es-CO"/>
        </w:rPr>
        <w:t xml:space="preserve"> Estatuto Tributario artículo 593; Ley 1429 de 2010 artículo 15; Decreto 2972 de 2013 artículo 7° parágrafo 2°</w:t>
      </w:r>
    </w:p>
    <w:p w:rsidR="00036CF8" w:rsidRPr="00036CF8" w:rsidRDefault="00036CF8" w:rsidP="00036CF8">
      <w:pPr>
        <w:spacing w:line="240" w:lineRule="auto"/>
        <w:rPr>
          <w:rFonts w:eastAsia="Times New Roman" w:cs="Times New Roman"/>
          <w:szCs w:val="24"/>
          <w:lang w:eastAsia="es-CO"/>
        </w:rPr>
      </w:pPr>
    </w:p>
    <w:p w:rsidR="00036CF8" w:rsidRPr="00036CF8" w:rsidRDefault="00036CF8" w:rsidP="00036CF8">
      <w:pPr>
        <w:spacing w:line="240" w:lineRule="auto"/>
        <w:rPr>
          <w:rFonts w:eastAsia="Times New Roman" w:cs="Times New Roman"/>
          <w:szCs w:val="24"/>
          <w:lang w:eastAsia="es-CO"/>
        </w:rPr>
      </w:pPr>
    </w:p>
    <w:p w:rsidR="00036CF8" w:rsidRPr="00036CF8" w:rsidRDefault="00036CF8" w:rsidP="00036CF8">
      <w:pPr>
        <w:spacing w:line="240" w:lineRule="auto"/>
        <w:rPr>
          <w:rFonts w:eastAsia="Times New Roman" w:cs="Times New Roman"/>
          <w:szCs w:val="24"/>
          <w:lang w:eastAsia="es-CO"/>
        </w:rPr>
      </w:pPr>
      <w:r w:rsidRPr="00036CF8">
        <w:rPr>
          <w:rFonts w:eastAsia="Times New Roman" w:cs="Times New Roman"/>
          <w:szCs w:val="24"/>
          <w:lang w:eastAsia="es-CO"/>
        </w:rPr>
        <w:t>De conformidad con el artículo 19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036CF8" w:rsidRPr="00036CF8" w:rsidRDefault="00036CF8" w:rsidP="00036CF8">
      <w:pPr>
        <w:spacing w:line="240" w:lineRule="auto"/>
        <w:rPr>
          <w:rFonts w:eastAsia="Times New Roman" w:cs="Times New Roman"/>
          <w:szCs w:val="24"/>
          <w:lang w:eastAsia="es-CO"/>
        </w:rPr>
      </w:pPr>
    </w:p>
    <w:p w:rsidR="00036CF8" w:rsidRPr="00036CF8" w:rsidRDefault="00036CF8" w:rsidP="00036CF8">
      <w:pPr>
        <w:spacing w:line="240" w:lineRule="auto"/>
        <w:rPr>
          <w:rFonts w:eastAsia="Times New Roman" w:cs="Times New Roman"/>
          <w:szCs w:val="24"/>
          <w:lang w:eastAsia="es-CO"/>
        </w:rPr>
      </w:pPr>
      <w:r w:rsidRPr="00036CF8">
        <w:rPr>
          <w:rFonts w:eastAsia="Times New Roman" w:cs="Times New Roman"/>
          <w:szCs w:val="24"/>
          <w:lang w:eastAsia="es-CO"/>
        </w:rPr>
        <w:t xml:space="preserve">Mediante el radicado de la referencia se solicita la revocatoria de la respuesta del punto siete del Concepto 045542 del 29 de julio de 2014, en virtud de la cual se resolvía la siguiente pregunta: </w:t>
      </w:r>
      <w:r w:rsidRPr="00036CF8">
        <w:rPr>
          <w:rFonts w:eastAsia="Times New Roman" w:cs="Times New Roman"/>
          <w:i/>
          <w:iCs/>
          <w:szCs w:val="24"/>
          <w:lang w:eastAsia="es-CO"/>
        </w:rPr>
        <w:t>“En virtud de la modificación hecha por al artículo 593 del Estatuto Tributario ¿Un empleado debe computar dentro de sus ingresos que determinan la obligación de declarar los ingresos por enajenación de activos fijos y los provenientes de loterías, rifas, apuestas o similares?”</w:t>
      </w:r>
      <w:r w:rsidRPr="00036CF8">
        <w:rPr>
          <w:rFonts w:eastAsia="Times New Roman" w:cs="Times New Roman"/>
          <w:szCs w:val="24"/>
          <w:lang w:eastAsia="es-CO"/>
        </w:rPr>
        <w:t>.</w:t>
      </w:r>
    </w:p>
    <w:p w:rsidR="00036CF8" w:rsidRPr="00036CF8" w:rsidRDefault="00036CF8" w:rsidP="00036CF8">
      <w:pPr>
        <w:spacing w:line="240" w:lineRule="auto"/>
        <w:rPr>
          <w:rFonts w:eastAsia="Times New Roman" w:cs="Times New Roman"/>
          <w:szCs w:val="24"/>
          <w:lang w:eastAsia="es-CO"/>
        </w:rPr>
      </w:pPr>
    </w:p>
    <w:p w:rsidR="00036CF8" w:rsidRPr="00036CF8" w:rsidRDefault="00036CF8" w:rsidP="00036CF8">
      <w:pPr>
        <w:spacing w:line="240" w:lineRule="auto"/>
        <w:rPr>
          <w:rFonts w:eastAsia="Times New Roman" w:cs="Times New Roman"/>
          <w:szCs w:val="24"/>
          <w:lang w:eastAsia="es-CO"/>
        </w:rPr>
      </w:pPr>
      <w:r w:rsidRPr="00036CF8">
        <w:rPr>
          <w:rFonts w:eastAsia="Times New Roman" w:cs="Times New Roman"/>
          <w:szCs w:val="24"/>
          <w:lang w:eastAsia="es-CO"/>
        </w:rPr>
        <w:t>En dicha respuesta se concluyó que a fin de establecer si una persona se encuentra obligada a presentar declaración de impuesto renta y complementarios, se deben computar dentro de sus ingresos, aquellos obtenidos por enajenación de activos fijos y los provenientes de loterías, rifas, apuestas o similares.</w:t>
      </w:r>
    </w:p>
    <w:p w:rsidR="00036CF8" w:rsidRPr="00036CF8" w:rsidRDefault="00036CF8" w:rsidP="00036CF8">
      <w:pPr>
        <w:spacing w:line="240" w:lineRule="auto"/>
        <w:rPr>
          <w:rFonts w:eastAsia="Times New Roman" w:cs="Times New Roman"/>
          <w:szCs w:val="24"/>
          <w:lang w:eastAsia="es-CO"/>
        </w:rPr>
      </w:pPr>
    </w:p>
    <w:p w:rsidR="00036CF8" w:rsidRPr="00036CF8" w:rsidRDefault="00036CF8" w:rsidP="00036CF8">
      <w:pPr>
        <w:spacing w:line="240" w:lineRule="auto"/>
        <w:rPr>
          <w:rFonts w:eastAsia="Times New Roman" w:cs="Times New Roman"/>
          <w:szCs w:val="24"/>
          <w:lang w:eastAsia="es-CO"/>
        </w:rPr>
      </w:pPr>
      <w:r w:rsidRPr="00036CF8">
        <w:rPr>
          <w:rFonts w:eastAsia="Times New Roman" w:cs="Times New Roman"/>
          <w:szCs w:val="24"/>
          <w:lang w:eastAsia="es-CO"/>
        </w:rPr>
        <w:t>Sobre el particular se considera:</w:t>
      </w:r>
    </w:p>
    <w:p w:rsidR="00036CF8" w:rsidRPr="00036CF8" w:rsidRDefault="00036CF8" w:rsidP="00036CF8">
      <w:pPr>
        <w:spacing w:line="240" w:lineRule="auto"/>
        <w:rPr>
          <w:rFonts w:eastAsia="Times New Roman" w:cs="Times New Roman"/>
          <w:szCs w:val="24"/>
          <w:lang w:eastAsia="es-CO"/>
        </w:rPr>
      </w:pPr>
    </w:p>
    <w:p w:rsidR="00036CF8" w:rsidRPr="00036CF8" w:rsidRDefault="00036CF8" w:rsidP="00036CF8">
      <w:pPr>
        <w:spacing w:line="240" w:lineRule="auto"/>
        <w:rPr>
          <w:rFonts w:eastAsia="Times New Roman" w:cs="Times New Roman"/>
          <w:szCs w:val="24"/>
          <w:lang w:eastAsia="es-CO"/>
        </w:rPr>
      </w:pPr>
      <w:r w:rsidRPr="00036CF8">
        <w:rPr>
          <w:rFonts w:eastAsia="Times New Roman" w:cs="Times New Roman"/>
          <w:szCs w:val="24"/>
          <w:lang w:eastAsia="es-CO"/>
        </w:rPr>
        <w:t>El numeral tercero del artículo 593 del Estatuto Tributario consagraba como uno de los requisitos, para que un asalariado no estuviera obligado a presentar declaración del impuesto de renta y complementarios, que sus ingresos brutos en el respectivo año gravable no fueran totales o superiores a 4.073 UVT, este valor era el resultado de una modificación que en su momento trajo el artículo 15 de la Ley 1429 de 2010.</w:t>
      </w:r>
    </w:p>
    <w:p w:rsidR="00036CF8" w:rsidRPr="00036CF8" w:rsidRDefault="00036CF8" w:rsidP="00036CF8">
      <w:pPr>
        <w:spacing w:line="240" w:lineRule="auto"/>
        <w:rPr>
          <w:rFonts w:eastAsia="Times New Roman" w:cs="Times New Roman"/>
          <w:szCs w:val="24"/>
          <w:lang w:eastAsia="es-CO"/>
        </w:rPr>
      </w:pPr>
    </w:p>
    <w:p w:rsidR="00036CF8" w:rsidRPr="00036CF8" w:rsidRDefault="00036CF8" w:rsidP="00036CF8">
      <w:pPr>
        <w:spacing w:line="240" w:lineRule="auto"/>
        <w:rPr>
          <w:rFonts w:eastAsia="Times New Roman" w:cs="Times New Roman"/>
          <w:szCs w:val="24"/>
          <w:lang w:eastAsia="es-CO"/>
        </w:rPr>
      </w:pPr>
      <w:r w:rsidRPr="00036CF8">
        <w:rPr>
          <w:rFonts w:eastAsia="Times New Roman" w:cs="Times New Roman"/>
          <w:szCs w:val="24"/>
          <w:lang w:eastAsia="es-CO"/>
        </w:rPr>
        <w:t>El artículo 15 de la Ley 1429 de 2010 fue derogado por el artículo 198 de la Ley 1607 de 2012, situación que implicó acudir a lo señalado en el numeral primero del artículo 592 del Estatuto Tributario, para efectos de establecer el requisito de ingresos antes mencionado.</w:t>
      </w:r>
    </w:p>
    <w:p w:rsidR="00036CF8" w:rsidRPr="00036CF8" w:rsidRDefault="00036CF8" w:rsidP="00036CF8">
      <w:pPr>
        <w:spacing w:line="240" w:lineRule="auto"/>
        <w:rPr>
          <w:rFonts w:eastAsia="Times New Roman" w:cs="Times New Roman"/>
          <w:szCs w:val="24"/>
          <w:lang w:eastAsia="es-CO"/>
        </w:rPr>
      </w:pPr>
    </w:p>
    <w:p w:rsidR="00036CF8" w:rsidRPr="00036CF8" w:rsidRDefault="00036CF8" w:rsidP="00036CF8">
      <w:pPr>
        <w:spacing w:line="240" w:lineRule="auto"/>
        <w:rPr>
          <w:rFonts w:eastAsia="Times New Roman" w:cs="Times New Roman"/>
          <w:szCs w:val="24"/>
          <w:lang w:eastAsia="es-CO"/>
        </w:rPr>
      </w:pPr>
      <w:r w:rsidRPr="00036CF8">
        <w:rPr>
          <w:rFonts w:eastAsia="Times New Roman" w:cs="Times New Roman"/>
          <w:szCs w:val="24"/>
          <w:lang w:eastAsia="es-CO"/>
        </w:rPr>
        <w:t xml:space="preserve">Este numeral señala que no están obligados a presentar declaración de renta y complementarios, los contribuyentes personas naturales y sucesiones ilíquidas que no sean </w:t>
      </w:r>
      <w:r w:rsidRPr="00036CF8">
        <w:rPr>
          <w:rFonts w:eastAsia="Times New Roman" w:cs="Times New Roman"/>
          <w:szCs w:val="24"/>
          <w:lang w:eastAsia="es-CO"/>
        </w:rPr>
        <w:lastRenderedPageBreak/>
        <w:t>responsables del impuesto a las ventas, que en el respectivo año o período gravable hayan obtenido ingresos brutos inferiores 1.400 UVT.</w:t>
      </w:r>
    </w:p>
    <w:p w:rsidR="00036CF8" w:rsidRPr="00036CF8" w:rsidRDefault="00036CF8" w:rsidP="00036CF8">
      <w:pPr>
        <w:spacing w:line="240" w:lineRule="auto"/>
        <w:rPr>
          <w:rFonts w:eastAsia="Times New Roman" w:cs="Times New Roman"/>
          <w:szCs w:val="24"/>
          <w:lang w:eastAsia="es-CO"/>
        </w:rPr>
      </w:pPr>
    </w:p>
    <w:p w:rsidR="00036CF8" w:rsidRPr="00036CF8" w:rsidRDefault="00036CF8" w:rsidP="00036CF8">
      <w:pPr>
        <w:spacing w:line="240" w:lineRule="auto"/>
        <w:rPr>
          <w:rFonts w:eastAsia="Times New Roman" w:cs="Times New Roman"/>
          <w:szCs w:val="24"/>
          <w:lang w:eastAsia="es-CO"/>
        </w:rPr>
      </w:pPr>
      <w:r w:rsidRPr="00036CF8">
        <w:rPr>
          <w:rFonts w:eastAsia="Times New Roman" w:cs="Times New Roman"/>
          <w:szCs w:val="24"/>
          <w:lang w:eastAsia="es-CO"/>
        </w:rPr>
        <w:t>Sin perjuicio de lo anteriormente señalado, el parágrafo 2° de esta norma señala que dentro de los ingresos que sirven de base para efectuar el cómputo a que se refiere este numeral no deben incluirse los correspondientes a la enajenación de activos fijos, ni los provenientes de loterías, rifas, apuestas o similares, previsión que se reitera en el parágrafo 2° del artículo 7° del Decreto 2972 de 2013.</w:t>
      </w:r>
    </w:p>
    <w:p w:rsidR="00036CF8" w:rsidRPr="00036CF8" w:rsidRDefault="00036CF8" w:rsidP="00036CF8">
      <w:pPr>
        <w:spacing w:line="240" w:lineRule="auto"/>
        <w:rPr>
          <w:rFonts w:eastAsia="Times New Roman" w:cs="Times New Roman"/>
          <w:szCs w:val="24"/>
          <w:lang w:eastAsia="es-CO"/>
        </w:rPr>
      </w:pPr>
    </w:p>
    <w:p w:rsidR="00036CF8" w:rsidRPr="00036CF8" w:rsidRDefault="00036CF8" w:rsidP="00036CF8">
      <w:pPr>
        <w:spacing w:line="240" w:lineRule="auto"/>
        <w:rPr>
          <w:rFonts w:eastAsia="Times New Roman" w:cs="Times New Roman"/>
          <w:szCs w:val="24"/>
          <w:lang w:eastAsia="es-CO"/>
        </w:rPr>
      </w:pPr>
      <w:r w:rsidRPr="00036CF8">
        <w:rPr>
          <w:rFonts w:eastAsia="Times New Roman" w:cs="Times New Roman"/>
          <w:szCs w:val="24"/>
          <w:lang w:eastAsia="es-CO"/>
        </w:rPr>
        <w:t>Así las cosas, se revoca la respuesta dada al punto siete del Concepto 045542 del 29 de julio de 2014, para concluir que al momento de computar dentro de sus ingresos que determinan la obligación de declarar no se deben incluir los ingresos por enajenación de activos fijos y los provenientes de loterías, rifas, apuestas o similares.</w:t>
      </w:r>
    </w:p>
    <w:p w:rsidR="00036CF8" w:rsidRPr="00036CF8" w:rsidRDefault="00036CF8" w:rsidP="00036CF8">
      <w:pPr>
        <w:spacing w:line="240" w:lineRule="auto"/>
        <w:rPr>
          <w:rFonts w:eastAsia="Times New Roman" w:cs="Times New Roman"/>
          <w:szCs w:val="24"/>
          <w:lang w:eastAsia="es-CO"/>
        </w:rPr>
      </w:pPr>
    </w:p>
    <w:p w:rsidR="00036CF8" w:rsidRPr="00036CF8" w:rsidRDefault="00036CF8" w:rsidP="00036CF8">
      <w:pPr>
        <w:spacing w:line="240" w:lineRule="auto"/>
        <w:rPr>
          <w:rFonts w:eastAsia="Times New Roman" w:cs="Times New Roman"/>
          <w:szCs w:val="24"/>
          <w:lang w:eastAsia="es-CO"/>
        </w:rPr>
      </w:pPr>
      <w:r w:rsidRPr="00036CF8">
        <w:rPr>
          <w:rFonts w:eastAsia="Times New Roman" w:cs="Times New Roman"/>
          <w:szCs w:val="24"/>
          <w:lang w:eastAsia="es-CO"/>
        </w:rPr>
        <w:t>En los anteriores términos se resuelve su consulta.</w:t>
      </w:r>
    </w:p>
    <w:p w:rsidR="00036CF8" w:rsidRPr="00036CF8" w:rsidRDefault="00036CF8" w:rsidP="00036CF8">
      <w:pPr>
        <w:spacing w:line="240" w:lineRule="auto"/>
        <w:rPr>
          <w:rFonts w:eastAsia="Times New Roman" w:cs="Times New Roman"/>
          <w:szCs w:val="24"/>
          <w:lang w:eastAsia="es-CO"/>
        </w:rPr>
      </w:pPr>
    </w:p>
    <w:p w:rsidR="00036CF8" w:rsidRPr="00036CF8" w:rsidRDefault="00036CF8" w:rsidP="00036CF8">
      <w:pPr>
        <w:spacing w:line="240" w:lineRule="auto"/>
        <w:rPr>
          <w:rFonts w:eastAsia="Times New Roman" w:cs="Times New Roman"/>
          <w:szCs w:val="24"/>
          <w:lang w:eastAsia="es-CO"/>
        </w:rPr>
      </w:pPr>
      <w:r w:rsidRPr="00036CF8">
        <w:rPr>
          <w:rFonts w:eastAsia="Times New Roman" w:cs="Times New Roman"/>
          <w:szCs w:val="24"/>
          <w:lang w:eastAsia="es-CO"/>
        </w:rPr>
        <w:t>Atentamente,</w:t>
      </w:r>
    </w:p>
    <w:p w:rsidR="00036CF8" w:rsidRPr="00036CF8" w:rsidRDefault="00036CF8" w:rsidP="00036CF8">
      <w:pPr>
        <w:spacing w:line="240" w:lineRule="auto"/>
        <w:rPr>
          <w:rFonts w:eastAsia="Times New Roman" w:cs="Times New Roman"/>
          <w:szCs w:val="24"/>
          <w:lang w:eastAsia="es-CO"/>
        </w:rPr>
      </w:pPr>
      <w:r w:rsidRPr="00036CF8">
        <w:rPr>
          <w:rFonts w:eastAsia="Times New Roman" w:cs="Times New Roman"/>
          <w:b/>
          <w:szCs w:val="24"/>
          <w:lang w:eastAsia="es-CO"/>
        </w:rPr>
        <w:t>La Directora de Gestión Jurídica,</w:t>
      </w:r>
    </w:p>
    <w:p w:rsidR="00036CF8" w:rsidRPr="00036CF8" w:rsidRDefault="00036CF8" w:rsidP="00036CF8">
      <w:pPr>
        <w:spacing w:line="240" w:lineRule="auto"/>
        <w:rPr>
          <w:rFonts w:eastAsia="Times New Roman" w:cs="Times New Roman"/>
          <w:szCs w:val="24"/>
          <w:lang w:eastAsia="es-CO"/>
        </w:rPr>
      </w:pPr>
      <w:r w:rsidRPr="00036CF8">
        <w:rPr>
          <w:rFonts w:eastAsia="Times New Roman" w:cs="Times New Roman"/>
          <w:i/>
          <w:iCs/>
          <w:szCs w:val="24"/>
          <w:lang w:eastAsia="es-CO"/>
        </w:rPr>
        <w:t>Dalila Astrid Hernández Corzo.</w:t>
      </w:r>
    </w:p>
    <w:p w:rsidR="00036CF8" w:rsidRPr="00036CF8" w:rsidRDefault="00036CF8" w:rsidP="00036CF8">
      <w:pPr>
        <w:spacing w:line="240" w:lineRule="auto"/>
        <w:rPr>
          <w:rFonts w:eastAsia="Times New Roman" w:cs="Times New Roman"/>
          <w:b/>
          <w:iCs/>
          <w:szCs w:val="24"/>
          <w:lang w:eastAsia="es-CO"/>
        </w:rPr>
      </w:pPr>
      <w:r w:rsidRPr="00036CF8">
        <w:rPr>
          <w:rFonts w:eastAsia="Times New Roman" w:cs="Times New Roman"/>
          <w:b/>
          <w:iCs/>
          <w:szCs w:val="24"/>
          <w:lang w:eastAsia="es-CO"/>
        </w:rPr>
        <w:t>Publicado en D.O. 49.310 del 20 de octubre de 2014.</w:t>
      </w:r>
    </w:p>
    <w:p w:rsidR="00036CF8" w:rsidRPr="00036CF8" w:rsidRDefault="00036CF8" w:rsidP="00E64C65">
      <w:pPr>
        <w:spacing w:line="240" w:lineRule="auto"/>
        <w:rPr>
          <w:rFonts w:eastAsia="Times New Roman" w:cs="Times New Roman"/>
          <w:szCs w:val="24"/>
          <w:lang w:eastAsia="es-CO"/>
        </w:rPr>
      </w:pPr>
      <w:r w:rsidRPr="00036CF8">
        <w:rPr>
          <w:rFonts w:eastAsia="Times New Roman" w:cs="Times New Roman"/>
          <w:b/>
          <w:iCs/>
          <w:szCs w:val="24"/>
          <w:lang w:eastAsia="es-CO"/>
        </w:rPr>
        <w:t>_________________________________________________________________________</w:t>
      </w:r>
      <w:bookmarkStart w:id="0" w:name="_GoBack"/>
      <w:bookmarkEnd w:id="0"/>
    </w:p>
    <w:p w:rsidR="00730617" w:rsidRPr="00036CF8" w:rsidRDefault="00730617" w:rsidP="00036CF8">
      <w:pPr>
        <w:rPr>
          <w:rFonts w:cs="Times New Roman"/>
          <w:szCs w:val="24"/>
        </w:rPr>
      </w:pPr>
    </w:p>
    <w:sectPr w:rsidR="00730617" w:rsidRPr="00036CF8"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F8"/>
    <w:rsid w:val="00036CF8"/>
    <w:rsid w:val="00730617"/>
    <w:rsid w:val="00A45230"/>
    <w:rsid w:val="00E64C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38855"/>
  <w15:chartTrackingRefBased/>
  <w15:docId w15:val="{0C71E16F-5507-486F-A528-AF73606F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54338">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3181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2019-07-22T12:37:00Z</dcterms:created>
  <dcterms:modified xsi:type="dcterms:W3CDTF">2019-07-22T12:39:00Z</dcterms:modified>
</cp:coreProperties>
</file>