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8B" w:rsidRPr="00E71707" w:rsidRDefault="0028418B" w:rsidP="0028418B">
      <w:pPr>
        <w:spacing w:line="240" w:lineRule="auto"/>
        <w:jc w:val="center"/>
        <w:rPr>
          <w:rFonts w:eastAsia="Times New Roman" w:cs="Times New Roman"/>
          <w:szCs w:val="24"/>
          <w:lang w:eastAsia="es-CO"/>
        </w:rPr>
      </w:pPr>
      <w:r w:rsidRPr="00E71707">
        <w:rPr>
          <w:rFonts w:eastAsia="Times New Roman" w:cs="Times New Roman"/>
          <w:b/>
          <w:bCs/>
          <w:szCs w:val="24"/>
          <w:lang w:eastAsia="es-CO"/>
        </w:rPr>
        <w:t>OFICIO Nº 786 [007334]</w:t>
      </w:r>
    </w:p>
    <w:p w:rsidR="0028418B" w:rsidRPr="00E71707" w:rsidRDefault="0028418B" w:rsidP="0028418B">
      <w:pPr>
        <w:spacing w:line="240" w:lineRule="auto"/>
        <w:jc w:val="center"/>
        <w:rPr>
          <w:rFonts w:eastAsia="Times New Roman" w:cs="Times New Roman"/>
          <w:szCs w:val="24"/>
          <w:lang w:eastAsia="es-CO"/>
        </w:rPr>
      </w:pPr>
      <w:r w:rsidRPr="00E71707">
        <w:rPr>
          <w:rFonts w:eastAsia="Times New Roman" w:cs="Times New Roman"/>
          <w:b/>
          <w:bCs/>
          <w:szCs w:val="24"/>
          <w:lang w:eastAsia="es-CO"/>
        </w:rPr>
        <w:t>28-03-2019</w:t>
      </w:r>
    </w:p>
    <w:p w:rsidR="0028418B" w:rsidRPr="00E71707" w:rsidRDefault="0028418B" w:rsidP="0028418B">
      <w:pPr>
        <w:spacing w:line="240" w:lineRule="auto"/>
        <w:jc w:val="center"/>
        <w:rPr>
          <w:rFonts w:eastAsia="Times New Roman" w:cs="Times New Roman"/>
          <w:szCs w:val="24"/>
          <w:lang w:eastAsia="es-CO"/>
        </w:rPr>
      </w:pPr>
      <w:r w:rsidRPr="00E71707">
        <w:rPr>
          <w:rFonts w:eastAsia="Times New Roman" w:cs="Times New Roman"/>
          <w:b/>
          <w:bCs/>
          <w:szCs w:val="24"/>
          <w:lang w:eastAsia="es-CO"/>
        </w:rPr>
        <w:t>DIAN</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b/>
          <w:bCs/>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b/>
          <w:bCs/>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Subdirección de Gestión Normativa y Doctrina</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Bogotá, D.C.</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100208221 – 000786</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proofErr w:type="spellStart"/>
      <w:r w:rsidRPr="00E71707">
        <w:rPr>
          <w:rFonts w:eastAsia="Times New Roman" w:cs="Times New Roman"/>
          <w:b/>
          <w:bCs/>
          <w:szCs w:val="24"/>
          <w:lang w:eastAsia="es-CO"/>
        </w:rPr>
        <w:t>Ref</w:t>
      </w:r>
      <w:proofErr w:type="spellEnd"/>
      <w:r w:rsidRPr="00E71707">
        <w:rPr>
          <w:rFonts w:eastAsia="Times New Roman" w:cs="Times New Roman"/>
          <w:b/>
          <w:bCs/>
          <w:szCs w:val="24"/>
          <w:lang w:eastAsia="es-CO"/>
        </w:rPr>
        <w:t>:</w:t>
      </w:r>
      <w:r w:rsidRPr="00E71707">
        <w:rPr>
          <w:rFonts w:eastAsia="Times New Roman" w:cs="Times New Roman"/>
          <w:szCs w:val="24"/>
          <w:lang w:eastAsia="es-CO"/>
        </w:rPr>
        <w:t> Radicado 100010798 del 16/02/2019</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6234"/>
      </w:tblGrid>
      <w:tr w:rsidR="00E71707" w:rsidRPr="00E71707" w:rsidTr="0028418B">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Impuesto sobre la Renta y Complementarios</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Impuesto Nacional al Consumo</w:t>
            </w:r>
          </w:p>
        </w:tc>
      </w:tr>
      <w:tr w:rsidR="00E71707" w:rsidRPr="00E71707" w:rsidTr="0028418B">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Retención en el Impuesto Sobre la Renta</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Impuesto Nacional al Consumo de Bienes Inmuebles</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Determinación de la Renta Bruta en la Enajenación de Activos</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Determinación de la Renta Bruta</w:t>
            </w:r>
          </w:p>
        </w:tc>
      </w:tr>
      <w:tr w:rsidR="00E71707" w:rsidRPr="00E71707" w:rsidTr="0028418B">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ESTATUTO TRIBUTARIO ARTS: </w:t>
            </w:r>
            <w:hyperlink r:id="rId4" w:tooltip="Estatuto Tributario CETA" w:history="1">
              <w:r w:rsidRPr="00E71707">
                <w:rPr>
                  <w:rFonts w:eastAsia="Times New Roman" w:cs="Times New Roman"/>
                  <w:szCs w:val="24"/>
                  <w:u w:val="single"/>
                  <w:lang w:eastAsia="es-CO"/>
                </w:rPr>
                <w:t>90</w:t>
              </w:r>
            </w:hyperlink>
            <w:r w:rsidRPr="00E71707">
              <w:rPr>
                <w:rFonts w:eastAsia="Times New Roman" w:cs="Times New Roman"/>
                <w:szCs w:val="24"/>
                <w:lang w:eastAsia="es-CO"/>
              </w:rPr>
              <w:t>, </w:t>
            </w:r>
            <w:hyperlink r:id="rId5" w:tooltip="Estatuto Tributario CETA" w:history="1">
              <w:r w:rsidRPr="00E71707">
                <w:rPr>
                  <w:rFonts w:eastAsia="Times New Roman" w:cs="Times New Roman"/>
                  <w:szCs w:val="24"/>
                  <w:u w:val="single"/>
                  <w:lang w:eastAsia="es-CO"/>
                </w:rPr>
                <w:t>401</w:t>
              </w:r>
            </w:hyperlink>
            <w:r w:rsidRPr="00E71707">
              <w:rPr>
                <w:rFonts w:eastAsia="Times New Roman" w:cs="Times New Roman"/>
                <w:szCs w:val="24"/>
                <w:lang w:eastAsia="es-CO"/>
              </w:rPr>
              <w:t> y </w:t>
            </w:r>
            <w:hyperlink r:id="rId6" w:tooltip="Estatuto Tributario CETA" w:history="1">
              <w:r w:rsidRPr="00E71707">
                <w:rPr>
                  <w:rFonts w:eastAsia="Times New Roman" w:cs="Times New Roman"/>
                  <w:szCs w:val="24"/>
                  <w:u w:val="single"/>
                  <w:lang w:eastAsia="es-CO"/>
                </w:rPr>
                <w:t>512-22</w:t>
              </w:r>
            </w:hyperlink>
          </w:p>
        </w:tc>
      </w:tr>
    </w:tbl>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Cordial saludo, señor Rico:</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En atención a la consulta, en la que señala:</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szCs w:val="24"/>
          <w:lang w:eastAsia="es-CO"/>
        </w:rPr>
        <w:t>“De manera más respetuosa solicito a ustedes se sirvan instruirnos sobre la aplicación de la Ley de financiamiento en lo que respecta a los artículos 21, 53 y 57.</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szCs w:val="24"/>
          <w:lang w:eastAsia="es-CO"/>
        </w:rPr>
        <w:t>Lo anterior, teniendo en cuenta las diferentes interpretaciones que han surgido desde su entrada en vigencia.”</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El </w:t>
      </w:r>
      <w:hyperlink r:id="rId7" w:tooltip="Estatuto Tributario CETA" w:history="1">
        <w:r w:rsidRPr="00E71707">
          <w:rPr>
            <w:rFonts w:eastAsia="Times New Roman" w:cs="Times New Roman"/>
            <w:szCs w:val="24"/>
            <w:u w:val="single"/>
            <w:lang w:eastAsia="es-CO"/>
          </w:rPr>
          <w:t>artículo 512-22</w:t>
        </w:r>
      </w:hyperlink>
      <w:r w:rsidRPr="00E71707">
        <w:rPr>
          <w:rFonts w:eastAsia="Times New Roman" w:cs="Times New Roman"/>
          <w:szCs w:val="24"/>
          <w:lang w:eastAsia="es-CO"/>
        </w:rPr>
        <w:t> del Estatuto Tributario, adicionado por el artículo 21 de la Ley 1943 de 2018, establece:</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b/>
          <w:bCs/>
          <w:i/>
          <w:iCs/>
          <w:szCs w:val="24"/>
          <w:lang w:eastAsia="es-CO"/>
        </w:rPr>
        <w:t>“</w:t>
      </w:r>
      <w:hyperlink r:id="rId8" w:tooltip="Estatuto Tributario CETA" w:history="1">
        <w:r w:rsidRPr="00E71707">
          <w:rPr>
            <w:rFonts w:eastAsia="Times New Roman" w:cs="Times New Roman"/>
            <w:b/>
            <w:bCs/>
            <w:i/>
            <w:iCs/>
            <w:szCs w:val="24"/>
            <w:u w:val="single"/>
            <w:lang w:eastAsia="es-CO"/>
          </w:rPr>
          <w:t>ARTÍCULO 512-22</w:t>
        </w:r>
      </w:hyperlink>
      <w:r w:rsidRPr="00E71707">
        <w:rPr>
          <w:rFonts w:eastAsia="Times New Roman" w:cs="Times New Roman"/>
          <w:b/>
          <w:bCs/>
          <w:i/>
          <w:iCs/>
          <w:szCs w:val="24"/>
          <w:lang w:eastAsia="es-CO"/>
        </w:rPr>
        <w:t>. IMPUESTO NACIONAL AL CONSUMO DE BIENES INMUEBLES.</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xml:space="preserve">&lt;Artículo adicionado por el artículo 21 de la Ley 1943 de 2018. El nuevo texto es el siguiente:&gt; El impuesto nacional al consumo tiene como hecho generador la enajenación, a cualquier título, de bienes inmuebles diferentes a predios rurales destinados a actividades agropecuarias, nuevos o usados, cuyo valor supere las 26.800 UVT, incluidas </w:t>
      </w:r>
      <w:r w:rsidRPr="00E71707">
        <w:rPr>
          <w:rFonts w:eastAsia="Times New Roman" w:cs="Times New Roman"/>
          <w:i/>
          <w:iCs/>
          <w:szCs w:val="24"/>
          <w:lang w:eastAsia="es-CO"/>
        </w:rPr>
        <w:lastRenderedPageBreak/>
        <w:t>las realizadas mediante las cesiones de derechos fiduciarios o fondos que no coticen en bolsa.</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El responsable del impuesto es el vendedor o cedente de los bienes inmuebles sujetos al impuesto nacional al consumo. El impuesto será recaudado en su totalidad mediante el mecanismo de retención en la fuente. La retención aquí prevista deberá cancelarse previamente a la enajenación del bien inmueble, y presentar comprobante de pago ante el notario o administrador de la fiducia, fondo de capital privado o fondo de inversión colectiva.</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La tarifa aplicable será del dos por ciento (2%) sobre la totalidad del precio de venta.</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b/>
          <w:bCs/>
          <w:i/>
          <w:iCs/>
          <w:szCs w:val="24"/>
          <w:lang w:eastAsia="es-CO"/>
        </w:rPr>
        <w:t>PARÁGRAFO 1o.</w:t>
      </w:r>
      <w:r w:rsidRPr="00E71707">
        <w:rPr>
          <w:rFonts w:eastAsia="Times New Roman" w:cs="Times New Roman"/>
          <w:i/>
          <w:iCs/>
          <w:szCs w:val="24"/>
          <w:lang w:eastAsia="es-CO"/>
        </w:rPr>
        <w:t> Este impuesto, cuya causación es instantánea, no podrá tratarse como impuesto descontable, ni como gasto deducible, pero hará parte del costo del inmueble para el comprador.</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b/>
          <w:bCs/>
          <w:i/>
          <w:iCs/>
          <w:szCs w:val="24"/>
          <w:lang w:eastAsia="es-CO"/>
        </w:rPr>
        <w:t>PARÁGRAFO 2o.</w:t>
      </w:r>
      <w:r w:rsidRPr="00E71707">
        <w:rPr>
          <w:rFonts w:eastAsia="Times New Roman" w:cs="Times New Roman"/>
          <w:i/>
          <w:iCs/>
          <w:szCs w:val="24"/>
          <w:lang w:eastAsia="es-CO"/>
        </w:rPr>
        <w:t> Para efectos de este artículo, se entienden por actividades agropecuarias aquellas señaladas en la Clasificación Industrial Internacional Uniforme (CIIU), Sección A, división 01, adoptada en Colombia mediante Resolución de la Dirección de Impuestos y Aduanas Nacionales (DIAN).</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b/>
          <w:bCs/>
          <w:i/>
          <w:iCs/>
          <w:szCs w:val="24"/>
          <w:lang w:eastAsia="es-CO"/>
        </w:rPr>
        <w:t>PARÁGRAFO 3o.</w:t>
      </w:r>
      <w:r w:rsidRPr="00E71707">
        <w:rPr>
          <w:rFonts w:eastAsia="Times New Roman" w:cs="Times New Roman"/>
          <w:i/>
          <w:iCs/>
          <w:szCs w:val="24"/>
          <w:lang w:eastAsia="es-CO"/>
        </w:rPr>
        <w:t> El impuesto consagrado en el presente artículo no será aplicable a las enajenaciones, a cualquier título, de predios destinados a la ejecución de proyectos de vivienda de interés social y/o prioritario.</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b/>
          <w:bCs/>
          <w:i/>
          <w:iCs/>
          <w:szCs w:val="24"/>
          <w:lang w:eastAsia="es-CO"/>
        </w:rPr>
        <w:t>PARÁGRAFO 4o.</w:t>
      </w:r>
      <w:r w:rsidRPr="00E71707">
        <w:rPr>
          <w:rFonts w:eastAsia="Times New Roman" w:cs="Times New Roman"/>
          <w:i/>
          <w:iCs/>
          <w:szCs w:val="24"/>
          <w:lang w:eastAsia="es-CO"/>
        </w:rPr>
        <w:t> Quedan exentos de la tarifa aplicable señalada en presente artículo todos aquellos bienes que se adquieran a cualquier título destinados para equipamientos colectivos de interés público social. Siempre y cuando el comprador sea una entidad estatal o una entidad sin ánimo de lucro que cumpla los requisitos para tener derecho al régimen tributario especial y que el bien se dedique y utilice exclusivamente a los proyectos sociales y actividades meritorias.”</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El artículo anterior hace referencia que, a partir del 1 de enero de 2019, toda enajenación a cualquier título, bienes inmuebles diferentes a predios rurales destinados a actividades agropecuarias, nuevos o usados, cuyo valor supere las 26.800 UVT, esto es, bienes superiores a $918.436.000, para el año 2019, incluidas las realizadas mediante las cesiones de derechos fiduciarios o fondos que no coticen en bolsa, serán objeto de impuesto nacional al consumo de bienes inmuebles y la tarifa aplicable será del dos por ciento (2%) sobre la totalidad del precio de venta.</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Lo anterior, sin perjuicio de los demás señalamientos y acepciones consagrados en el artículo de la referencia y los demás artículos de la presente consulta; sin embargo, se está a la expectativa de los Decretos reglamentarios respectivos para los artículos en relación a los casos planteados por el consultante. De igual manera, en dichos proyectos de decretos reglamentarios se establece una descripción más clara de la operatividad de este artículo.</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El </w:t>
      </w:r>
      <w:hyperlink r:id="rId9" w:tooltip="Estatuto Tributario CETA" w:history="1">
        <w:r w:rsidRPr="00E71707">
          <w:rPr>
            <w:rFonts w:eastAsia="Times New Roman" w:cs="Times New Roman"/>
            <w:szCs w:val="24"/>
            <w:u w:val="single"/>
            <w:lang w:eastAsia="es-CO"/>
          </w:rPr>
          <w:t>artículo 90</w:t>
        </w:r>
      </w:hyperlink>
      <w:r w:rsidRPr="00E71707">
        <w:rPr>
          <w:rFonts w:eastAsia="Times New Roman" w:cs="Times New Roman"/>
          <w:szCs w:val="24"/>
          <w:lang w:eastAsia="es-CO"/>
        </w:rPr>
        <w:t> del Estatuto Tributario, modificado por el artículo 53 de la Ley 1943 de 2018, establece:</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b/>
          <w:bCs/>
          <w:i/>
          <w:iCs/>
          <w:szCs w:val="24"/>
          <w:lang w:eastAsia="es-CO"/>
        </w:rPr>
        <w:t>“</w:t>
      </w:r>
      <w:hyperlink r:id="rId10" w:tooltip="Estatuto Tributario CETA" w:history="1">
        <w:r w:rsidRPr="00E71707">
          <w:rPr>
            <w:rFonts w:eastAsia="Times New Roman" w:cs="Times New Roman"/>
            <w:b/>
            <w:bCs/>
            <w:i/>
            <w:iCs/>
            <w:szCs w:val="24"/>
            <w:u w:val="single"/>
            <w:lang w:eastAsia="es-CO"/>
          </w:rPr>
          <w:t>ARTÍCULO 90</w:t>
        </w:r>
      </w:hyperlink>
      <w:r w:rsidRPr="00E71707">
        <w:rPr>
          <w:rFonts w:eastAsia="Times New Roman" w:cs="Times New Roman"/>
          <w:b/>
          <w:bCs/>
          <w:i/>
          <w:iCs/>
          <w:szCs w:val="24"/>
          <w:lang w:eastAsia="es-CO"/>
        </w:rPr>
        <w:t>. DETERMINACIÓN DE LA RENTA BRUTA EN LA ENAJENACIÓN DE ACTIVOS Y VALOR COMERCIAL EN OPERACIONES SOBRE BIENES Y SERVICIOS.</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&lt;Artículo modificado por el artículo 53 de la Ley 1943 de 2018. El nuevo texto es el siguiente:&gt; La renta bruta o la pérdida proveniente de la enajenación de activos a cualquier título, está constituida por la diferencia entre el precio de la enajenación y el costo del activo o activos enajenados.</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lastRenderedPageBreak/>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El precio de la enajenación es el valor comercial realizado en dinero o en especie. Para estos efectos será parte del precio el valor comercial de las especies recibidas.</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Se tiene por valor comercial el señalado por las partes, el cual deberá corresponder al precio comercial promedio para bienes de la misma especie, en la fecha de su enajenación. Esta previsión también resulta aplicable a los servicios.</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xml:space="preserve">En el caso de bienes raíces, además de lo previsto en esta disposición, no se aceptará un precio inferior al costo, al avalúo catastral ni al </w:t>
      </w:r>
      <w:proofErr w:type="spellStart"/>
      <w:r w:rsidRPr="00E71707">
        <w:rPr>
          <w:rFonts w:eastAsia="Times New Roman" w:cs="Times New Roman"/>
          <w:i/>
          <w:iCs/>
          <w:szCs w:val="24"/>
          <w:lang w:eastAsia="es-CO"/>
        </w:rPr>
        <w:t>autoavalúo</w:t>
      </w:r>
      <w:proofErr w:type="spellEnd"/>
      <w:r w:rsidRPr="00E71707">
        <w:rPr>
          <w:rFonts w:eastAsia="Times New Roman" w:cs="Times New Roman"/>
          <w:i/>
          <w:iCs/>
          <w:szCs w:val="24"/>
          <w:lang w:eastAsia="es-CO"/>
        </w:rPr>
        <w:t>,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A partir del 1 de enero de 2019, no serán constitutivos de costo de los bienes raíces aquellas sumas que no se hayan desembolsado a través de entidades financieras.</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Cuando el valor asignado por las partes difiera notoriamente del valor comercial de los bienes o servicios en la fecha de su enajenación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xml:space="preserve">Se entiende que el valor asignado por las partes difiere notoriamente del promedio vigente, cuando se aparte en más de un quince por ciento (15%) de los precios establecidos en el comercio para los bienes o servicios de la misma especie y calidad, en la fecha de </w:t>
      </w:r>
      <w:r w:rsidRPr="00E71707">
        <w:rPr>
          <w:rFonts w:eastAsia="Times New Roman" w:cs="Times New Roman"/>
          <w:i/>
          <w:iCs/>
          <w:szCs w:val="24"/>
          <w:lang w:eastAsia="es-CO"/>
        </w:rPr>
        <w:lastRenderedPageBreak/>
        <w:t>enajenación o prestación, teniendo en cuenta la naturaleza, condiciones y estado de los activos y servicios.</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Sin perjuicio de lo previsto en este artículo, cuando el activo enajenado sean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El </w:t>
      </w:r>
      <w:hyperlink r:id="rId11" w:tooltip="Estatuto Tributario CETA" w:history="1">
        <w:r w:rsidRPr="00E71707">
          <w:rPr>
            <w:rFonts w:eastAsia="Times New Roman" w:cs="Times New Roman"/>
            <w:szCs w:val="24"/>
            <w:u w:val="single"/>
            <w:lang w:eastAsia="es-CO"/>
          </w:rPr>
          <w:t>artículo 90</w:t>
        </w:r>
      </w:hyperlink>
      <w:r w:rsidRPr="00E71707">
        <w:rPr>
          <w:rFonts w:eastAsia="Times New Roman" w:cs="Times New Roman"/>
          <w:szCs w:val="24"/>
          <w:lang w:eastAsia="es-CO"/>
        </w:rPr>
        <w:t> del Estatuto Tributario establece que, a partir del 1 de enero de 2019, la renta bruta en la enajenación de activos está constituida por la diferencia entre el precio de la enajenación y el costo del activo o activos enajenados, en estas circunstancias el Oficio No. 006312 del 13 de marzo de 2019, en uno de sus apartes, manifiesta:</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A su vez, (i) el precio de la enajenación es el valor comercial realizado en dinero o en especie y, (ii) el valor comercial es el señalado por las partes, el cual deberá corresponder al precio comercial promedio para bienes de la misma especie, en la fecha de su enajenación.</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xml:space="preserve">Sin embargo, la norma a continuación precisa que de ser los activos enajenados: bienes raíces, no se aceptará un precio inferior al costo, al avalúo catastral ni al </w:t>
      </w:r>
      <w:proofErr w:type="spellStart"/>
      <w:r w:rsidRPr="00E71707">
        <w:rPr>
          <w:rFonts w:eastAsia="Times New Roman" w:cs="Times New Roman"/>
          <w:i/>
          <w:iCs/>
          <w:szCs w:val="24"/>
          <w:lang w:eastAsia="es-CO"/>
        </w:rPr>
        <w:t>autoavalúo</w:t>
      </w:r>
      <w:proofErr w:type="spellEnd"/>
      <w:r w:rsidRPr="00E71707">
        <w:rPr>
          <w:rFonts w:eastAsia="Times New Roman" w:cs="Times New Roman"/>
          <w:i/>
          <w:iCs/>
          <w:szCs w:val="24"/>
          <w:lang w:eastAsia="es-CO"/>
        </w:rPr>
        <w:t>, sin perjuicio de la posibilidad de un valor comercial superior.</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En este mismo sentido, cuando los activos enajenados correspondan a:</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1) Acciones o cuotas de interés social de sociedades o entidades nacionales que no coticen en la Bolsa de Valores de Colombia, o una de reconocida idoneidad internacional.</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2)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Salvo prueba en contrario, se presume que el precio de enajenación de estos activos, no puede ser inferior al valor intrínseco incrementado en un 30%.</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Así las cosas, el precio de los activos enajenados, cuando estos sean derechos, cuotas de interés social o acciones que cumplan con las condiciones anteriormente referidas, no puede ser inferior al valor intrínseco incrementado en un 30%.</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Para finalizar en respuesta a su inquietud, se precisa que la no aceptación del precio inferior al costo, al avalúo catastral ni al autoevalúo, (sic) solo es aplicable a la enajenación de bienes raíces.</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lastRenderedPageBreak/>
        <w:t>Lo que busca el Legislador con la expedición del artículo 53 de la Ley 1943 de 2018, es eliminar la práctica de escriturar bienes inmuebles por un valor inferior al de la venta, para lograr así reducir los niveles de evasión en el impuesto sobre la renta y ganancias ocasionales.</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El parágrafo del </w:t>
      </w:r>
      <w:hyperlink r:id="rId12" w:tooltip="Estatuto Tributario CETA" w:history="1">
        <w:r w:rsidRPr="00E71707">
          <w:rPr>
            <w:rFonts w:eastAsia="Times New Roman" w:cs="Times New Roman"/>
            <w:szCs w:val="24"/>
            <w:u w:val="single"/>
            <w:lang w:eastAsia="es-CO"/>
          </w:rPr>
          <w:t>artículo 401</w:t>
        </w:r>
      </w:hyperlink>
      <w:r w:rsidRPr="00E71707">
        <w:rPr>
          <w:rFonts w:eastAsia="Times New Roman" w:cs="Times New Roman"/>
          <w:szCs w:val="24"/>
          <w:lang w:eastAsia="es-CO"/>
        </w:rPr>
        <w:t> del Estatuto Tributario, adicionado por el artículo 57 de la Ley 1943 de 2018, estipula:</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b/>
          <w:bCs/>
          <w:i/>
          <w:iCs/>
          <w:szCs w:val="24"/>
          <w:lang w:eastAsia="es-CO"/>
        </w:rPr>
        <w:t>“</w:t>
      </w:r>
      <w:hyperlink r:id="rId13" w:tooltip="Estatuto Tributario CETA" w:history="1">
        <w:r w:rsidRPr="00E71707">
          <w:rPr>
            <w:rFonts w:eastAsia="Times New Roman" w:cs="Times New Roman"/>
            <w:b/>
            <w:bCs/>
            <w:i/>
            <w:iCs/>
            <w:szCs w:val="24"/>
            <w:u w:val="single"/>
            <w:lang w:eastAsia="es-CO"/>
          </w:rPr>
          <w:t>ARTÍCULO 401</w:t>
        </w:r>
      </w:hyperlink>
      <w:r w:rsidRPr="00E71707">
        <w:rPr>
          <w:rFonts w:eastAsia="Times New Roman" w:cs="Times New Roman"/>
          <w:b/>
          <w:bCs/>
          <w:i/>
          <w:iCs/>
          <w:szCs w:val="24"/>
          <w:lang w:eastAsia="es-CO"/>
        </w:rPr>
        <w:t>. RETENCIÓN SOBRE OTROS INGRESOS TRIBUTARIOS.</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Sin perjuicio de las retenciones contempladas en las disposiciones vigentes a la fecha de expedición de la Ley 50 de 1.984, a saber: Ingresos laborales, dividendos y participaciones; honorarios, comisiones, servicios, arrendamientos, rendimientos financieros, enajenación de activos fijos, loterías, rifas, apuestas y similares; patrimonio, pagos al exterior y remesas, el Gobierno podrá establecer retenciones en la fuente sobre los pagos o abonos en cuenta susceptibles de constituir ingreso tributario para el contribuyente del impuesto sobre la renta, que hagan las personas jurídicas y las sociedades de hecho.</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b/>
          <w:bCs/>
          <w:i/>
          <w:iCs/>
          <w:szCs w:val="24"/>
          <w:u w:val="single"/>
          <w:lang w:eastAsia="es-CO"/>
        </w:rPr>
        <w:t>PARÁGRAFO. </w:t>
      </w:r>
      <w:r w:rsidRPr="00E71707">
        <w:rPr>
          <w:rFonts w:eastAsia="Times New Roman" w:cs="Times New Roman"/>
          <w:i/>
          <w:iCs/>
          <w:szCs w:val="24"/>
          <w:u w:val="single"/>
          <w:lang w:eastAsia="es-CO"/>
        </w:rPr>
        <w:t>&lt;Parágrafo adicionado por el artículo 57 de la Ley 1943 de 2018. El nuevo texto es el siguiente:&gt; Cuando el comprador de un bien inmueble sea una persona jurídica o una sociedad de hecho, la retención en la fuente a título del impuesto sobre la renta constituye un requisito previo para el otorgamiento de la escritura pública o la transferencia de derechos o cuotas representativas de bienes inmuebles</w:t>
      </w:r>
      <w:r w:rsidRPr="00E71707">
        <w:rPr>
          <w:rFonts w:eastAsia="Times New Roman" w:cs="Times New Roman"/>
          <w:i/>
          <w:iCs/>
          <w:szCs w:val="24"/>
          <w:lang w:eastAsia="es-CO"/>
        </w:rPr>
        <w:t>.</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A96ADC">
        <w:rPr>
          <w:rFonts w:eastAsia="Times New Roman" w:cs="Times New Roman"/>
          <w:i/>
          <w:iCs/>
          <w:szCs w:val="24"/>
          <w:highlight w:val="green"/>
          <w:u w:val="single"/>
          <w:lang w:eastAsia="es-CO"/>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r w:rsidRPr="00A96ADC">
        <w:rPr>
          <w:rFonts w:eastAsia="Times New Roman" w:cs="Times New Roman"/>
          <w:i/>
          <w:iCs/>
          <w:szCs w:val="24"/>
          <w:highlight w:val="green"/>
          <w:lang w:eastAsia="es-CO"/>
        </w:rPr>
        <w:t>” subrayado fuera de texto.</w:t>
      </w:r>
      <w:bookmarkStart w:id="0" w:name="_GoBack"/>
      <w:bookmarkEnd w:id="0"/>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Respecto a lo anterior, el Oficio No. 004561 de 2019, en uno de sus apartes, señala:</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A96ADC">
        <w:rPr>
          <w:rFonts w:eastAsia="Times New Roman" w:cs="Times New Roman"/>
          <w:i/>
          <w:iCs/>
          <w:szCs w:val="24"/>
          <w:highlight w:val="green"/>
          <w:lang w:eastAsia="es-CO"/>
        </w:rPr>
        <w:t>“De la norma trascrita se deduce lógicamente que la exigencia del pago de la retención en la fuente debe practicarse mediante recibo oficial de pago, pues fue esta la manera establecida por el legislador para ello, pago que debe hacer la persona jurídica o la sociedad de hecho que actúe como comprador.</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xml:space="preserve">La tarifa aplicable a la misma es la estipulada en el artículo 1.2.4.9.1. del Decreto 1625 de 2016, norma que expresa: “Cuando el pago o abono en cuenta corresponda a la adquisición de bienes raíces cuya destinación y uso sea vivienda de habitación, la retención prevista en este artículo será del uno por ciento (1%) por las primeras veinte mil (20.000) UVT. Para el exceso de dicho monto, la tarifa de retención será del </w:t>
      </w:r>
      <w:proofErr w:type="gramStart"/>
      <w:r w:rsidRPr="00E71707">
        <w:rPr>
          <w:rFonts w:eastAsia="Times New Roman" w:cs="Times New Roman"/>
          <w:i/>
          <w:iCs/>
          <w:szCs w:val="24"/>
          <w:lang w:eastAsia="es-CO"/>
        </w:rPr>
        <w:t>dos punto</w:t>
      </w:r>
      <w:proofErr w:type="gramEnd"/>
      <w:r w:rsidRPr="00E71707">
        <w:rPr>
          <w:rFonts w:eastAsia="Times New Roman" w:cs="Times New Roman"/>
          <w:i/>
          <w:iCs/>
          <w:szCs w:val="24"/>
          <w:lang w:eastAsia="es-CO"/>
        </w:rPr>
        <w:t xml:space="preserve"> cinco por ciento (2.5%). Cuando el pago o abono en cuenta corresponda a la adquisición de bienes raíces cuya destinación y uso sean distintos a vivienda de habitación, la retención prevista en este artículo será del </w:t>
      </w:r>
      <w:proofErr w:type="gramStart"/>
      <w:r w:rsidRPr="00E71707">
        <w:rPr>
          <w:rFonts w:eastAsia="Times New Roman" w:cs="Times New Roman"/>
          <w:i/>
          <w:iCs/>
          <w:szCs w:val="24"/>
          <w:lang w:eastAsia="es-CO"/>
        </w:rPr>
        <w:t>dos punto</w:t>
      </w:r>
      <w:proofErr w:type="gramEnd"/>
      <w:r w:rsidRPr="00E71707">
        <w:rPr>
          <w:rFonts w:eastAsia="Times New Roman" w:cs="Times New Roman"/>
          <w:i/>
          <w:iCs/>
          <w:szCs w:val="24"/>
          <w:lang w:eastAsia="es-CO"/>
        </w:rPr>
        <w:t xml:space="preserve"> cinco por ciento (2.5%)”.</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La retención del </w:t>
      </w:r>
      <w:hyperlink r:id="rId14" w:tooltip="Estatuto Tributario CETA" w:history="1">
        <w:r w:rsidRPr="00E71707">
          <w:rPr>
            <w:rFonts w:eastAsia="Times New Roman" w:cs="Times New Roman"/>
            <w:i/>
            <w:iCs/>
            <w:szCs w:val="24"/>
            <w:u w:val="single"/>
            <w:lang w:eastAsia="es-CO"/>
          </w:rPr>
          <w:t>artículo 401</w:t>
        </w:r>
      </w:hyperlink>
      <w:r w:rsidRPr="00E71707">
        <w:rPr>
          <w:rFonts w:eastAsia="Times New Roman" w:cs="Times New Roman"/>
          <w:i/>
          <w:iCs/>
          <w:szCs w:val="24"/>
          <w:lang w:eastAsia="es-CO"/>
        </w:rPr>
        <w:t> del ET., se efectúa en el evento en que el comprador de un bien inmueble sea una persona jurídica o una sociedad de hecho. De manera que, para efectos de esta norma la ley no distingue la calidad del vendedor.</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A su vez, la ley impone la obligación al notario o sociedad administradora de la fiducia o fondo, de verificar el pago de la retención previo al otorgamiento de la escritura pública o la transferencia de derechos o cuotas, cuando el comprador del bien inmueble sea una persona jurídica o una sociedad de hecho.</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lastRenderedPageBreak/>
        <w:t>Por lo que la obligación del notario en este caso (</w:t>
      </w:r>
      <w:hyperlink r:id="rId15" w:tooltip="Estatuto Tributario CETA" w:history="1">
        <w:r w:rsidRPr="00E71707">
          <w:rPr>
            <w:rFonts w:eastAsia="Times New Roman" w:cs="Times New Roman"/>
            <w:i/>
            <w:iCs/>
            <w:szCs w:val="24"/>
            <w:u w:val="single"/>
            <w:lang w:eastAsia="es-CO"/>
          </w:rPr>
          <w:t>Artículo 401</w:t>
        </w:r>
      </w:hyperlink>
      <w:r w:rsidRPr="00E71707">
        <w:rPr>
          <w:rFonts w:eastAsia="Times New Roman" w:cs="Times New Roman"/>
          <w:i/>
          <w:iCs/>
          <w:szCs w:val="24"/>
          <w:lang w:eastAsia="es-CO"/>
        </w:rPr>
        <w:t> del ET) es únicamente verificar que la retención se haya efectuado por medio de la constancia de pago del recibo oficial y de ninguna manera actuar como agente retenedor.</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En consecuencia, en el caso de que el vendedor del bien inmueble sea una persona natural y el comprador sea una persona jurídica o una sociedad de hecho, deberá aplicarse la retención de que trata el </w:t>
      </w:r>
      <w:hyperlink r:id="rId16" w:tooltip="Estatuto Tributario CETA" w:history="1">
        <w:r w:rsidRPr="00E71707">
          <w:rPr>
            <w:rFonts w:eastAsia="Times New Roman" w:cs="Times New Roman"/>
            <w:i/>
            <w:iCs/>
            <w:szCs w:val="24"/>
            <w:u w:val="single"/>
            <w:lang w:eastAsia="es-CO"/>
          </w:rPr>
          <w:t>artículo 401</w:t>
        </w:r>
      </w:hyperlink>
      <w:r w:rsidRPr="00E71707">
        <w:rPr>
          <w:rFonts w:eastAsia="Times New Roman" w:cs="Times New Roman"/>
          <w:i/>
          <w:iCs/>
          <w:szCs w:val="24"/>
          <w:lang w:eastAsia="es-CO"/>
        </w:rPr>
        <w:t> del ET., debiendo efectuarse el pago de la retención por el comprador mediante recibo oficial de pago a la tarifa estipulada en el artículo 1.2.4.9.1. del Decreto 1625 de 2016 precitado.</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 </w:t>
      </w:r>
    </w:p>
    <w:p w:rsidR="0028418B" w:rsidRPr="00E71707" w:rsidRDefault="0028418B" w:rsidP="0028418B">
      <w:pPr>
        <w:spacing w:line="240" w:lineRule="auto"/>
        <w:ind w:left="180"/>
        <w:rPr>
          <w:rFonts w:eastAsia="Times New Roman" w:cs="Times New Roman"/>
          <w:szCs w:val="24"/>
          <w:lang w:eastAsia="es-CO"/>
        </w:rPr>
      </w:pPr>
      <w:r w:rsidRPr="00E71707">
        <w:rPr>
          <w:rFonts w:eastAsia="Times New Roman" w:cs="Times New Roman"/>
          <w:i/>
          <w:iCs/>
          <w:szCs w:val="24"/>
          <w:lang w:eastAsia="es-CO"/>
        </w:rPr>
        <w:t>Téngase presente que, la retención en la fuente estipulada en el </w:t>
      </w:r>
      <w:hyperlink r:id="rId17" w:tooltip="Estatuto Tributario CETA" w:history="1">
        <w:r w:rsidRPr="00E71707">
          <w:rPr>
            <w:rFonts w:eastAsia="Times New Roman" w:cs="Times New Roman"/>
            <w:i/>
            <w:iCs/>
            <w:szCs w:val="24"/>
            <w:u w:val="single"/>
            <w:lang w:eastAsia="es-CO"/>
          </w:rPr>
          <w:t>artículo 398</w:t>
        </w:r>
      </w:hyperlink>
      <w:r w:rsidRPr="00E71707">
        <w:rPr>
          <w:rFonts w:eastAsia="Times New Roman" w:cs="Times New Roman"/>
          <w:i/>
          <w:iCs/>
          <w:szCs w:val="24"/>
          <w:lang w:eastAsia="es-CO"/>
        </w:rPr>
        <w:t> del ET., está vigente, y va dirigida a la enajenación de activos fijos de personas naturales, en ella el agente retenedor es el notario para el caso de bienes raíces y la tarifa aplicable es del 1%.”</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Atentamente,</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 </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b/>
          <w:bCs/>
          <w:szCs w:val="24"/>
          <w:lang w:eastAsia="es-CO"/>
        </w:rPr>
        <w:t>LORENZO CASTILLO BARVO</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Subdirector de Gestión Normativa y Doctrina (E)</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Dirección de Gestión Jurídica</w:t>
      </w:r>
    </w:p>
    <w:p w:rsidR="0028418B" w:rsidRPr="00E71707" w:rsidRDefault="0028418B" w:rsidP="0028418B">
      <w:pPr>
        <w:spacing w:line="240" w:lineRule="auto"/>
        <w:rPr>
          <w:rFonts w:eastAsia="Times New Roman" w:cs="Times New Roman"/>
          <w:szCs w:val="24"/>
          <w:lang w:eastAsia="es-CO"/>
        </w:rPr>
      </w:pPr>
      <w:r w:rsidRPr="00E71707">
        <w:rPr>
          <w:rFonts w:eastAsia="Times New Roman" w:cs="Times New Roman"/>
          <w:szCs w:val="24"/>
          <w:lang w:eastAsia="es-CO"/>
        </w:rPr>
        <w:t>UAE – Dirección de Impuestos y Aduanas Nacionales</w:t>
      </w:r>
    </w:p>
    <w:p w:rsidR="0028418B" w:rsidRPr="00E71707" w:rsidRDefault="0028418B" w:rsidP="0028418B">
      <w:pPr>
        <w:spacing w:after="285" w:line="240" w:lineRule="auto"/>
        <w:rPr>
          <w:rFonts w:eastAsia="Times New Roman" w:cs="Times New Roman"/>
          <w:szCs w:val="24"/>
          <w:lang w:eastAsia="es-CO"/>
        </w:rPr>
      </w:pPr>
      <w:r w:rsidRPr="00E71707">
        <w:rPr>
          <w:rFonts w:eastAsia="Times New Roman" w:cs="Times New Roman"/>
          <w:szCs w:val="24"/>
          <w:lang w:eastAsia="es-CO"/>
        </w:rPr>
        <w:t> </w:t>
      </w:r>
    </w:p>
    <w:p w:rsidR="00730617" w:rsidRPr="00E71707" w:rsidRDefault="00730617">
      <w:pPr>
        <w:rPr>
          <w:rFonts w:cs="Times New Roman"/>
          <w:szCs w:val="24"/>
        </w:rPr>
      </w:pPr>
    </w:p>
    <w:sectPr w:rsidR="00730617" w:rsidRPr="00E7170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8B"/>
    <w:rsid w:val="0028418B"/>
    <w:rsid w:val="00730617"/>
    <w:rsid w:val="00A45230"/>
    <w:rsid w:val="00A96ADC"/>
    <w:rsid w:val="00E717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E9939-DE3F-4BA4-8B2C-73329E0D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483" TargetMode="External"/><Relationship Id="rId13" Type="http://schemas.openxmlformats.org/officeDocument/2006/relationships/hyperlink" Target="https://www.ceta.org.co/html/vista_de_un_articulo.asp?Norma=49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60483" TargetMode="External"/><Relationship Id="rId12" Type="http://schemas.openxmlformats.org/officeDocument/2006/relationships/hyperlink" Target="https://www.ceta.org.co/html/vista_de_un_articulo.asp?Norma=496" TargetMode="External"/><Relationship Id="rId17" Type="http://schemas.openxmlformats.org/officeDocument/2006/relationships/hyperlink" Target="https://www.ceta.org.co/html/vista_de_un_articulo.asp?Norma=493" TargetMode="External"/><Relationship Id="rId2" Type="http://schemas.openxmlformats.org/officeDocument/2006/relationships/settings" Target="settings.xml"/><Relationship Id="rId16" Type="http://schemas.openxmlformats.org/officeDocument/2006/relationships/hyperlink" Target="https://www.ceta.org.co/html/vista_de_un_articulo.asp?Norma=496" TargetMode="External"/><Relationship Id="rId1" Type="http://schemas.openxmlformats.org/officeDocument/2006/relationships/styles" Target="styles.xml"/><Relationship Id="rId6" Type="http://schemas.openxmlformats.org/officeDocument/2006/relationships/hyperlink" Target="https://www.ceta.org.co/html/vista_de_un_articulo.asp?Norma=60483" TargetMode="External"/><Relationship Id="rId11" Type="http://schemas.openxmlformats.org/officeDocument/2006/relationships/hyperlink" Target="https://www.ceta.org.co/html/vista_de_un_articulo.asp?Norma=134" TargetMode="External"/><Relationship Id="rId5" Type="http://schemas.openxmlformats.org/officeDocument/2006/relationships/hyperlink" Target="https://www.ceta.org.co/html/vista_de_un_articulo.asp?Norma=496" TargetMode="External"/><Relationship Id="rId15" Type="http://schemas.openxmlformats.org/officeDocument/2006/relationships/hyperlink" Target="https://www.ceta.org.co/html/vista_de_un_articulo.asp?Norma=496" TargetMode="External"/><Relationship Id="rId10" Type="http://schemas.openxmlformats.org/officeDocument/2006/relationships/hyperlink" Target="https://www.ceta.org.co/html/vista_de_un_articulo.asp?Norma=134" TargetMode="External"/><Relationship Id="rId19" Type="http://schemas.openxmlformats.org/officeDocument/2006/relationships/theme" Target="theme/theme1.xml"/><Relationship Id="rId4" Type="http://schemas.openxmlformats.org/officeDocument/2006/relationships/hyperlink" Target="https://www.ceta.org.co/html/vista_de_un_articulo.asp?Norma=134" TargetMode="External"/><Relationship Id="rId9" Type="http://schemas.openxmlformats.org/officeDocument/2006/relationships/hyperlink" Target="https://www.ceta.org.co/html/vista_de_un_articulo.asp?Norma=134" TargetMode="External"/><Relationship Id="rId14" Type="http://schemas.openxmlformats.org/officeDocument/2006/relationships/hyperlink" Target="https://www.ceta.org.co/html/vista_de_un_articulo.asp?Norma=4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2991</Words>
  <Characters>16454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2019-07-11T01:45:00Z</dcterms:created>
  <dcterms:modified xsi:type="dcterms:W3CDTF">2019-08-01T02:29:00Z</dcterms:modified>
</cp:coreProperties>
</file>