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48" w:rsidRPr="00553048" w:rsidRDefault="00553048" w:rsidP="00553048">
      <w:pPr>
        <w:spacing w:after="0" w:line="240" w:lineRule="auto"/>
        <w:jc w:val="center"/>
        <w:rPr>
          <w:rFonts w:eastAsia="Times New Roman" w:cs="Times New Roman"/>
          <w:szCs w:val="24"/>
          <w:lang w:eastAsia="es-CO"/>
        </w:rPr>
      </w:pPr>
      <w:r w:rsidRPr="00553048">
        <w:rPr>
          <w:rFonts w:eastAsia="Times New Roman" w:cs="Times New Roman"/>
          <w:b/>
          <w:bCs/>
          <w:szCs w:val="24"/>
          <w:lang w:eastAsia="es-CO"/>
        </w:rPr>
        <w:t>OFICIO Nº 485 [004909]</w:t>
      </w:r>
    </w:p>
    <w:p w:rsidR="00553048" w:rsidRPr="00553048" w:rsidRDefault="00553048" w:rsidP="00553048">
      <w:pPr>
        <w:spacing w:after="0" w:line="240" w:lineRule="auto"/>
        <w:jc w:val="center"/>
        <w:rPr>
          <w:rFonts w:eastAsia="Times New Roman" w:cs="Times New Roman"/>
          <w:szCs w:val="24"/>
          <w:lang w:eastAsia="es-CO"/>
        </w:rPr>
      </w:pPr>
      <w:r w:rsidRPr="00553048">
        <w:rPr>
          <w:rFonts w:eastAsia="Times New Roman" w:cs="Times New Roman"/>
          <w:b/>
          <w:bCs/>
          <w:szCs w:val="24"/>
          <w:lang w:eastAsia="es-CO"/>
        </w:rPr>
        <w:t>27-02-2019</w:t>
      </w:r>
    </w:p>
    <w:p w:rsidR="00553048" w:rsidRPr="00553048" w:rsidRDefault="00553048" w:rsidP="00553048">
      <w:pPr>
        <w:spacing w:after="0" w:line="240" w:lineRule="auto"/>
        <w:jc w:val="center"/>
        <w:rPr>
          <w:rFonts w:eastAsia="Times New Roman" w:cs="Times New Roman"/>
          <w:szCs w:val="24"/>
          <w:lang w:eastAsia="es-CO"/>
        </w:rPr>
      </w:pPr>
      <w:r w:rsidRPr="00553048">
        <w:rPr>
          <w:rFonts w:eastAsia="Times New Roman" w:cs="Times New Roman"/>
          <w:b/>
          <w:bCs/>
          <w:szCs w:val="24"/>
          <w:lang w:eastAsia="es-CO"/>
        </w:rPr>
        <w:t>DIAN</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b/>
          <w:b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b/>
          <w:b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Subdirección de Gestión Normativa y Doctrina</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100208221 – 000485</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Bogotá, D.C.</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proofErr w:type="spellStart"/>
      <w:r w:rsidRPr="00553048">
        <w:rPr>
          <w:rFonts w:eastAsia="Times New Roman" w:cs="Times New Roman"/>
          <w:b/>
          <w:bCs/>
          <w:szCs w:val="24"/>
          <w:lang w:eastAsia="es-CO"/>
        </w:rPr>
        <w:t>Ref</w:t>
      </w:r>
      <w:proofErr w:type="spellEnd"/>
      <w:r w:rsidRPr="00553048">
        <w:rPr>
          <w:rFonts w:eastAsia="Times New Roman" w:cs="Times New Roman"/>
          <w:b/>
          <w:bCs/>
          <w:szCs w:val="24"/>
          <w:lang w:eastAsia="es-CO"/>
        </w:rPr>
        <w:t>:</w:t>
      </w:r>
      <w:r w:rsidRPr="00553048">
        <w:rPr>
          <w:rFonts w:eastAsia="Times New Roman" w:cs="Times New Roman"/>
          <w:szCs w:val="24"/>
          <w:lang w:eastAsia="es-CO"/>
        </w:rPr>
        <w:t> Radicado 100075556 del 09/12/2018</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Mediante escrito radicado 100075556 del 9 de noviembre de dos mil dieciocho (2018), está Subdirección recibió una consulta por medio de la cual se solicitó resolver unas preguntas relacionadas con: (i) la obtención de la exclusión del Impuesto sobre las ventas (en adelante “</w:t>
      </w:r>
      <w:r w:rsidRPr="00553048">
        <w:rPr>
          <w:rFonts w:eastAsia="Times New Roman" w:cs="Times New Roman"/>
          <w:szCs w:val="24"/>
          <w:u w:val="single"/>
          <w:lang w:eastAsia="es-CO"/>
        </w:rPr>
        <w:t>IVA</w:t>
      </w:r>
      <w:r w:rsidRPr="00553048">
        <w:rPr>
          <w:rFonts w:eastAsia="Times New Roman" w:cs="Times New Roman"/>
          <w:szCs w:val="24"/>
          <w:lang w:eastAsia="es-CO"/>
        </w:rPr>
        <w:t>”) y (ii) el descuento del impuesto sobre la renta, establecidos en la Resolución No. 463 de 2018 emitida por la Unidad de Planeación Minero Energética (“</w:t>
      </w:r>
      <w:r w:rsidRPr="00553048">
        <w:rPr>
          <w:rFonts w:eastAsia="Times New Roman" w:cs="Times New Roman"/>
          <w:szCs w:val="24"/>
          <w:u w:val="single"/>
          <w:lang w:eastAsia="es-CO"/>
        </w:rPr>
        <w:t>UPME</w:t>
      </w:r>
      <w:r w:rsidRPr="00553048">
        <w:rPr>
          <w:rFonts w:eastAsia="Times New Roman" w:cs="Times New Roman"/>
          <w:szCs w:val="24"/>
          <w:lang w:eastAsia="es-CO"/>
        </w:rPr>
        <w:t>”) y las Resoluciones No. 2000 de 2017 y 509 de 2018 emitidas por el Ministerio de Medio Ambiente y Desarrollo Sostenible (“</w:t>
      </w:r>
      <w:r w:rsidRPr="00553048">
        <w:rPr>
          <w:rFonts w:eastAsia="Times New Roman" w:cs="Times New Roman"/>
          <w:szCs w:val="24"/>
          <w:u w:val="single"/>
          <w:lang w:eastAsia="es-CO"/>
        </w:rPr>
        <w:t>MADS</w:t>
      </w:r>
      <w:r w:rsidRPr="00553048">
        <w:rPr>
          <w:rFonts w:eastAsia="Times New Roman" w:cs="Times New Roman"/>
          <w:szCs w:val="24"/>
          <w:lang w:eastAsia="es-CO"/>
        </w:rPr>
        <w:t>”). Las preguntas de la consulta son:</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 </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“1. ¿Durante el proceso de compra, adicional al certificado que entrega la Autoridad Nacional de Licencias Ambientales (“</w:t>
      </w:r>
      <w:r w:rsidRPr="00553048">
        <w:rPr>
          <w:rFonts w:eastAsia="Times New Roman" w:cs="Times New Roman"/>
          <w:i/>
          <w:iCs/>
          <w:szCs w:val="24"/>
          <w:u w:val="single"/>
          <w:lang w:eastAsia="es-CO"/>
        </w:rPr>
        <w:t>ANLA</w:t>
      </w:r>
      <w:r w:rsidRPr="00553048">
        <w:rPr>
          <w:rFonts w:eastAsia="Times New Roman" w:cs="Times New Roman"/>
          <w:i/>
          <w:iCs/>
          <w:szCs w:val="24"/>
          <w:lang w:eastAsia="es-CO"/>
        </w:rPr>
        <w:t>”) al constructor, se debe presentar algún documento adicional para que no nos cobre el IVA en la compra?</w:t>
      </w:r>
    </w:p>
    <w:p w:rsidR="00553048" w:rsidRDefault="00553048" w:rsidP="00553048">
      <w:pPr>
        <w:spacing w:after="0" w:line="240" w:lineRule="auto"/>
        <w:ind w:left="180"/>
        <w:jc w:val="both"/>
        <w:rPr>
          <w:rFonts w:eastAsia="Times New Roman" w:cs="Times New Roman"/>
          <w:i/>
          <w:iCs/>
          <w:szCs w:val="24"/>
          <w:lang w:eastAsia="es-CO"/>
        </w:rPr>
      </w:pP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 xml:space="preserve">2. ¿Después de tener el certificado de la ANLA y entregarlo a los proveedores de los productos anteriormente listados, </w:t>
      </w:r>
      <w:proofErr w:type="gramStart"/>
      <w:r w:rsidRPr="00553048">
        <w:rPr>
          <w:rFonts w:eastAsia="Times New Roman" w:cs="Times New Roman"/>
          <w:i/>
          <w:iCs/>
          <w:szCs w:val="24"/>
          <w:lang w:eastAsia="es-CO"/>
        </w:rPr>
        <w:t>cómo se asegura que ellos no van a tener ningún inconveniente ante la Dirección de Impuestos y Aduanas Nacionales (“</w:t>
      </w:r>
      <w:r w:rsidRPr="00553048">
        <w:rPr>
          <w:rFonts w:eastAsia="Times New Roman" w:cs="Times New Roman"/>
          <w:i/>
          <w:iCs/>
          <w:szCs w:val="24"/>
          <w:u w:val="single"/>
          <w:lang w:eastAsia="es-CO"/>
        </w:rPr>
        <w:t>DIAN</w:t>
      </w:r>
      <w:r w:rsidRPr="00553048">
        <w:rPr>
          <w:rFonts w:eastAsia="Times New Roman" w:cs="Times New Roman"/>
          <w:i/>
          <w:iCs/>
          <w:szCs w:val="24"/>
          <w:lang w:eastAsia="es-CO"/>
        </w:rPr>
        <w:t>”) al facturarnos sin IVA?</w:t>
      </w:r>
      <w:proofErr w:type="gramEnd"/>
    </w:p>
    <w:p w:rsidR="00553048" w:rsidRDefault="00553048" w:rsidP="00553048">
      <w:pPr>
        <w:spacing w:after="0" w:line="240" w:lineRule="auto"/>
        <w:ind w:left="180"/>
        <w:jc w:val="both"/>
        <w:rPr>
          <w:rFonts w:eastAsia="Times New Roman" w:cs="Times New Roman"/>
          <w:i/>
          <w:iCs/>
          <w:szCs w:val="24"/>
          <w:lang w:eastAsia="es-CO"/>
        </w:rPr>
      </w:pPr>
    </w:p>
    <w:p w:rsidR="00553048" w:rsidRPr="00553048" w:rsidRDefault="00553048" w:rsidP="00553048">
      <w:pPr>
        <w:spacing w:after="0" w:line="240" w:lineRule="auto"/>
        <w:ind w:left="180"/>
        <w:jc w:val="both"/>
        <w:rPr>
          <w:rFonts w:eastAsia="Times New Roman" w:cs="Times New Roman"/>
          <w:szCs w:val="24"/>
          <w:lang w:eastAsia="es-CO"/>
        </w:rPr>
      </w:pPr>
      <w:bookmarkStart w:id="0" w:name="_GoBack"/>
      <w:bookmarkEnd w:id="0"/>
      <w:r w:rsidRPr="00553048">
        <w:rPr>
          <w:rFonts w:eastAsia="Times New Roman" w:cs="Times New Roman"/>
          <w:i/>
          <w:iCs/>
          <w:szCs w:val="24"/>
          <w:lang w:eastAsia="es-CO"/>
        </w:rPr>
        <w:t>3. ¿En el momento de realizar la declaración de renta anual, y optando por el beneficio de descuento de renta, aparte del certificado de la ANLA, se debe presentar ante la DIAN algún documento adicional para acceder al mismo?”</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En atención a la consulta, se procede a analizar las siguientes consideraciones tributarias aplicables a las preguntas mencionadas:</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b/>
          <w:bCs/>
          <w:szCs w:val="24"/>
          <w:lang w:eastAsia="es-CO"/>
        </w:rPr>
        <w:t>a) </w:t>
      </w:r>
      <w:r w:rsidRPr="00553048">
        <w:rPr>
          <w:rFonts w:eastAsia="Times New Roman" w:cs="Times New Roman"/>
          <w:b/>
          <w:bCs/>
          <w:szCs w:val="24"/>
          <w:u w:val="single"/>
          <w:lang w:eastAsia="es-CO"/>
        </w:rPr>
        <w:t>Preguntas No. 1 y 2:</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b/>
          <w:b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 Respecto a la pregunta No. 1, el único requisito establecido por las normas aplicables para acceder a la exclusión del IVA establecida en el numeral 7 del </w:t>
      </w:r>
      <w:hyperlink r:id="rId4" w:tooltip="Estatuto Tributario CETA" w:history="1">
        <w:r w:rsidRPr="00553048">
          <w:rPr>
            <w:rFonts w:eastAsia="Times New Roman" w:cs="Times New Roman"/>
            <w:szCs w:val="24"/>
            <w:u w:val="single"/>
            <w:lang w:eastAsia="es-CO"/>
          </w:rPr>
          <w:t>artículo 424</w:t>
        </w:r>
      </w:hyperlink>
      <w:r w:rsidRPr="00553048">
        <w:rPr>
          <w:rFonts w:eastAsia="Times New Roman" w:cs="Times New Roman"/>
          <w:szCs w:val="24"/>
          <w:lang w:eastAsia="es-CO"/>
        </w:rPr>
        <w:t> y literal f) del </w:t>
      </w:r>
      <w:hyperlink r:id="rId5" w:tooltip="Estatuto Tributario CETA" w:history="1">
        <w:r w:rsidRPr="00553048">
          <w:rPr>
            <w:rFonts w:eastAsia="Times New Roman" w:cs="Times New Roman"/>
            <w:szCs w:val="24"/>
            <w:u w:val="single"/>
            <w:lang w:eastAsia="es-CO"/>
          </w:rPr>
          <w:t>artículo 428</w:t>
        </w:r>
      </w:hyperlink>
      <w:r w:rsidRPr="00553048">
        <w:rPr>
          <w:rFonts w:eastAsia="Times New Roman" w:cs="Times New Roman"/>
          <w:szCs w:val="24"/>
          <w:lang w:eastAsia="es-CO"/>
        </w:rPr>
        <w:t> del E.T. es la obtención de la certificación emitida por la Autoridad Nacional de Licencias Ambientales (“</w:t>
      </w:r>
      <w:r w:rsidRPr="00553048">
        <w:rPr>
          <w:rFonts w:eastAsia="Times New Roman" w:cs="Times New Roman"/>
          <w:szCs w:val="24"/>
          <w:u w:val="single"/>
          <w:lang w:eastAsia="es-CO"/>
        </w:rPr>
        <w:t>ANLA</w:t>
      </w:r>
      <w:r w:rsidRPr="00553048">
        <w:rPr>
          <w:rFonts w:eastAsia="Times New Roman" w:cs="Times New Roman"/>
          <w:szCs w:val="24"/>
          <w:lang w:eastAsia="es-CO"/>
        </w:rPr>
        <w:t xml:space="preserve">”). Respecto a la Pregunta No. 2, los bienes sujetos a dicha exclusión deberán ser listados en la solicitud de la certificación presentada ante la </w:t>
      </w:r>
      <w:r w:rsidRPr="00553048">
        <w:rPr>
          <w:rFonts w:eastAsia="Times New Roman" w:cs="Times New Roman"/>
          <w:szCs w:val="24"/>
          <w:lang w:eastAsia="es-CO"/>
        </w:rPr>
        <w:lastRenderedPageBreak/>
        <w:t>ANLA, de modo que el beneficio aplicable a los mismos será incluido en la certificación, por lo cual podrán ser comprobados ante la DIAN.</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2. Para llegar a las conclusiones expuestas, consideramos necesario analizar las normas aplicables a la exclusión del IVA establecida en el numeral 7 del </w:t>
      </w:r>
      <w:hyperlink r:id="rId6" w:tooltip="Estatuto Tributario CETA" w:history="1">
        <w:r w:rsidRPr="00553048">
          <w:rPr>
            <w:rFonts w:eastAsia="Times New Roman" w:cs="Times New Roman"/>
            <w:szCs w:val="24"/>
            <w:u w:val="single"/>
            <w:lang w:eastAsia="es-CO"/>
          </w:rPr>
          <w:t>artículo 424</w:t>
        </w:r>
      </w:hyperlink>
      <w:r w:rsidRPr="00553048">
        <w:rPr>
          <w:rFonts w:eastAsia="Times New Roman" w:cs="Times New Roman"/>
          <w:szCs w:val="24"/>
          <w:lang w:eastAsia="es-CO"/>
        </w:rPr>
        <w:t> y literal f) del </w:t>
      </w:r>
      <w:hyperlink r:id="rId7" w:tooltip="Estatuto Tributario CETA" w:history="1">
        <w:r w:rsidRPr="00553048">
          <w:rPr>
            <w:rFonts w:eastAsia="Times New Roman" w:cs="Times New Roman"/>
            <w:szCs w:val="24"/>
            <w:u w:val="single"/>
            <w:lang w:eastAsia="es-CO"/>
          </w:rPr>
          <w:t>artículo 428</w:t>
        </w:r>
      </w:hyperlink>
      <w:r w:rsidRPr="00553048">
        <w:rPr>
          <w:rFonts w:eastAsia="Times New Roman" w:cs="Times New Roman"/>
          <w:szCs w:val="24"/>
          <w:lang w:eastAsia="es-CO"/>
        </w:rPr>
        <w:t> del E.T.</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3. El artículo (sic) numeral 7 del </w:t>
      </w:r>
      <w:hyperlink r:id="rId8" w:tooltip="Estatuto Tributario CETA" w:history="1">
        <w:r w:rsidRPr="00553048">
          <w:rPr>
            <w:rFonts w:eastAsia="Times New Roman" w:cs="Times New Roman"/>
            <w:szCs w:val="24"/>
            <w:u w:val="single"/>
            <w:lang w:eastAsia="es-CO"/>
          </w:rPr>
          <w:t>artículo 424</w:t>
        </w:r>
      </w:hyperlink>
      <w:r w:rsidRPr="00553048">
        <w:rPr>
          <w:rFonts w:eastAsia="Times New Roman" w:cs="Times New Roman"/>
          <w:szCs w:val="24"/>
          <w:lang w:eastAsia="es-CO"/>
        </w:rPr>
        <w:t> del Estatuto Tributario (“</w:t>
      </w:r>
      <w:r w:rsidRPr="00553048">
        <w:rPr>
          <w:rFonts w:eastAsia="Times New Roman" w:cs="Times New Roman"/>
          <w:szCs w:val="24"/>
          <w:u w:val="single"/>
          <w:lang w:eastAsia="es-CO"/>
        </w:rPr>
        <w:t>E.T.</w:t>
      </w:r>
      <w:r w:rsidRPr="00553048">
        <w:rPr>
          <w:rFonts w:eastAsia="Times New Roman" w:cs="Times New Roman"/>
          <w:szCs w:val="24"/>
          <w:lang w:eastAsia="es-CO"/>
        </w:rPr>
        <w:t>”) establece que: </w:t>
      </w:r>
      <w:r w:rsidRPr="00553048">
        <w:rPr>
          <w:rFonts w:eastAsia="Times New Roman" w:cs="Times New Roman"/>
          <w:i/>
          <w:iCs/>
          <w:szCs w:val="24"/>
          <w:lang w:eastAsia="es-CO"/>
        </w:rPr>
        <w:t>“Los equipos y elementos nacionales o importados que se destinen a la construcción, instalación, montaje y operación de sistemas de control y monitoreo, necesarios para el cumplimiento de las disposiciones, regulaciones y estándares ambientales vigentes, </w:t>
      </w:r>
      <w:r w:rsidRPr="00553048">
        <w:rPr>
          <w:rFonts w:eastAsia="Times New Roman" w:cs="Times New Roman"/>
          <w:b/>
          <w:bCs/>
          <w:i/>
          <w:iCs/>
          <w:szCs w:val="24"/>
          <w:u w:val="single"/>
          <w:lang w:eastAsia="es-CO"/>
        </w:rPr>
        <w:t>para lo cual deberá acreditarse tal condición ante el Ministerio de Ambiente y Desarrollo Sostenible.</w:t>
      </w:r>
      <w:r w:rsidRPr="00553048">
        <w:rPr>
          <w:rFonts w:eastAsia="Times New Roman" w:cs="Times New Roman"/>
          <w:b/>
          <w:bCs/>
          <w:i/>
          <w:iCs/>
          <w:szCs w:val="24"/>
          <w:lang w:eastAsia="es-CO"/>
        </w:rPr>
        <w:t>”</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4. A su vez el literal f) del </w:t>
      </w:r>
      <w:hyperlink r:id="rId9" w:tooltip="Estatuto Tributario CETA" w:history="1">
        <w:r w:rsidRPr="00553048">
          <w:rPr>
            <w:rFonts w:eastAsia="Times New Roman" w:cs="Times New Roman"/>
            <w:szCs w:val="24"/>
            <w:u w:val="single"/>
            <w:lang w:eastAsia="es-CO"/>
          </w:rPr>
          <w:t>artículo 428</w:t>
        </w:r>
      </w:hyperlink>
      <w:r w:rsidRPr="00553048">
        <w:rPr>
          <w:rFonts w:eastAsia="Times New Roman" w:cs="Times New Roman"/>
          <w:szCs w:val="24"/>
          <w:lang w:eastAsia="es-CO"/>
        </w:rPr>
        <w:t> del E.T. establece las siguientes importaciones no causan el IVA: </w:t>
      </w:r>
      <w:r w:rsidRPr="00553048">
        <w:rPr>
          <w:rFonts w:eastAsia="Times New Roman" w:cs="Times New Roman"/>
          <w:i/>
          <w:iCs/>
          <w:szCs w:val="24"/>
          <w:lang w:eastAsia="es-CO"/>
        </w:rPr>
        <w:t>“f) La importación de maquinaria o equipo, siempre y cuando dicha maquinaria o equipo no se produzcan en el país, destinados a reciclar y procesar basuras o desperdicios (la maquinaria comprende lavado, separado, reciclado y extrusión), y los destinados a la depuración o tratamiento de aguas residuales, emisiones atmosféricas o residuos sólidos, para recuperación de los ríos o el saneamiento básico para lograr el mejoramiento del medio ambiente, </w:t>
      </w:r>
      <w:r w:rsidRPr="00553048">
        <w:rPr>
          <w:rFonts w:eastAsia="Times New Roman" w:cs="Times New Roman"/>
          <w:b/>
          <w:bCs/>
          <w:i/>
          <w:iCs/>
          <w:szCs w:val="24"/>
          <w:u w:val="single"/>
          <w:lang w:eastAsia="es-CO"/>
        </w:rPr>
        <w:t>siempre y cuando hagan parte de un programa que se apruebe por el Ministerio del Medio Ambiente</w:t>
      </w:r>
      <w:r w:rsidRPr="00553048">
        <w:rPr>
          <w:rFonts w:eastAsia="Times New Roman" w:cs="Times New Roman"/>
          <w:b/>
          <w:bCs/>
          <w:i/>
          <w:iCs/>
          <w:szCs w:val="24"/>
          <w:lang w:eastAsia="es-CO"/>
        </w:rPr>
        <w:t>. </w:t>
      </w:r>
      <w:r w:rsidRPr="00553048">
        <w:rPr>
          <w:rFonts w:eastAsia="Times New Roman" w:cs="Times New Roman"/>
          <w:i/>
          <w:iCs/>
          <w:szCs w:val="24"/>
          <w:lang w:eastAsia="es-CO"/>
        </w:rPr>
        <w:t>Cuando se trate de contratos ya celebrados, esta exención deberá reflejarse en un menor valor del contrato. Así mismo, los equipos para el control y monitoreo ambiental, incluidos aquellos para cumplir con los compromisos del protocolo de Montreal.”</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5. Teniendo en cuenta lo anterior, el Decreto 1564 de 2017 emitido por el Ministerio de Hacienda, por medio del cual se modifica parcialmente y se adiciona el Capítulo 14, Título 1, Parte 3, Libro 1 del Decreto No. 1625 de 2016, Único Reglamentario en materia Tributaria, establece en su artículo 1 que: </w:t>
      </w:r>
      <w:r w:rsidRPr="00553048">
        <w:rPr>
          <w:rFonts w:eastAsia="Times New Roman" w:cs="Times New Roman"/>
          <w:b/>
          <w:bCs/>
          <w:i/>
          <w:iCs/>
          <w:szCs w:val="24"/>
          <w:lang w:eastAsia="es-CO"/>
        </w:rPr>
        <w:t>“Artículo 1.3.1.14.3. Requisitos para solicitar la exclusión de Impuesto sobre las Ventas. </w:t>
      </w:r>
      <w:r w:rsidRPr="00553048">
        <w:rPr>
          <w:rFonts w:eastAsia="Times New Roman" w:cs="Times New Roman"/>
          <w:i/>
          <w:iCs/>
          <w:szCs w:val="24"/>
          <w:u w:val="single"/>
          <w:lang w:eastAsia="es-CO"/>
        </w:rPr>
        <w:t>El Ministerio de Ambiente y Desarrollo Sostenible mediante resolución establecerá la forma y requisitos como han de presentarse las solicitudes de certificación, con miras a obtener la exclusión de Impuesto sobre las ventas a que se refieren los artículos </w:t>
      </w:r>
      <w:hyperlink r:id="rId10" w:tooltip="Estatuto Tributario CETA" w:history="1">
        <w:r w:rsidRPr="00553048">
          <w:rPr>
            <w:rFonts w:eastAsia="Times New Roman" w:cs="Times New Roman"/>
            <w:i/>
            <w:iCs/>
            <w:szCs w:val="24"/>
            <w:u w:val="single"/>
            <w:lang w:eastAsia="es-CO"/>
          </w:rPr>
          <w:t>424</w:t>
        </w:r>
      </w:hyperlink>
      <w:r w:rsidRPr="00553048">
        <w:rPr>
          <w:rFonts w:eastAsia="Times New Roman" w:cs="Times New Roman"/>
          <w:i/>
          <w:iCs/>
          <w:szCs w:val="24"/>
          <w:u w:val="single"/>
          <w:lang w:eastAsia="es-CO"/>
        </w:rPr>
        <w:t> numeral 7 y </w:t>
      </w:r>
      <w:hyperlink r:id="rId11" w:tooltip="Estatuto Tributario CETA" w:history="1">
        <w:r w:rsidRPr="00553048">
          <w:rPr>
            <w:rFonts w:eastAsia="Times New Roman" w:cs="Times New Roman"/>
            <w:i/>
            <w:iCs/>
            <w:szCs w:val="24"/>
            <w:u w:val="single"/>
            <w:lang w:eastAsia="es-CO"/>
          </w:rPr>
          <w:t>428</w:t>
        </w:r>
      </w:hyperlink>
      <w:r w:rsidRPr="00553048">
        <w:rPr>
          <w:rFonts w:eastAsia="Times New Roman" w:cs="Times New Roman"/>
          <w:i/>
          <w:iCs/>
          <w:szCs w:val="24"/>
          <w:u w:val="single"/>
          <w:lang w:eastAsia="es-CO"/>
        </w:rPr>
        <w:t> literal f) del Estatuto Tributario</w:t>
      </w:r>
      <w:r w:rsidRPr="00553048">
        <w:rPr>
          <w:rFonts w:eastAsia="Times New Roman" w:cs="Times New Roman"/>
          <w:i/>
          <w:iCs/>
          <w:szCs w:val="24"/>
          <w:lang w:eastAsia="es-CO"/>
        </w:rPr>
        <w:t>”.</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6. Adicionalmente, el artículo 1º del Decreto 1564 de 2017, que modificó el artículo 1.3.1.14.5 del Decreto 1625 de 2016, señaló que: </w:t>
      </w:r>
      <w:r w:rsidRPr="00553048">
        <w:rPr>
          <w:rFonts w:eastAsia="Times New Roman" w:cs="Times New Roman"/>
          <w:i/>
          <w:iCs/>
          <w:szCs w:val="24"/>
          <w:lang w:eastAsia="es-CO"/>
        </w:rPr>
        <w:t>“La Autoridad Nacional de Licencias Ambientales, ANLA, o quien haga sus veces, </w:t>
      </w:r>
      <w:r w:rsidRPr="00553048">
        <w:rPr>
          <w:rFonts w:eastAsia="Times New Roman" w:cs="Times New Roman"/>
          <w:i/>
          <w:iCs/>
          <w:szCs w:val="24"/>
          <w:u w:val="single"/>
          <w:lang w:eastAsia="es-CO"/>
        </w:rPr>
        <w:t>certificará en cada caso, que la maquinaria y equipo a que hace referencia el </w:t>
      </w:r>
      <w:hyperlink r:id="rId12" w:tooltip="Estatuto Tributario CETA" w:history="1">
        <w:r w:rsidRPr="00553048">
          <w:rPr>
            <w:rFonts w:eastAsia="Times New Roman" w:cs="Times New Roman"/>
            <w:i/>
            <w:iCs/>
            <w:szCs w:val="24"/>
            <w:u w:val="single"/>
            <w:lang w:eastAsia="es-CO"/>
          </w:rPr>
          <w:t>artículo 428</w:t>
        </w:r>
      </w:hyperlink>
      <w:r w:rsidRPr="00553048">
        <w:rPr>
          <w:rFonts w:eastAsia="Times New Roman" w:cs="Times New Roman"/>
          <w:i/>
          <w:iCs/>
          <w:szCs w:val="24"/>
          <w:u w:val="single"/>
          <w:lang w:eastAsia="es-CO"/>
        </w:rPr>
        <w:t> literal f) del estatuto tributario, sea destinada a sistemas de control ambiental</w:t>
      </w:r>
      <w:r w:rsidRPr="00553048">
        <w:rPr>
          <w:rFonts w:eastAsia="Times New Roman" w:cs="Times New Roman"/>
          <w:i/>
          <w:i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7. El artículo 2º del Decreto 1564 de 2017 que modificó el artículo 1.3.1.14.25 del Decreto 1625 de 2016, estableció que: </w:t>
      </w:r>
      <w:r w:rsidRPr="00553048">
        <w:rPr>
          <w:rFonts w:eastAsia="Times New Roman" w:cs="Times New Roman"/>
          <w:i/>
          <w:iCs/>
          <w:szCs w:val="24"/>
          <w:lang w:eastAsia="es-CO"/>
        </w:rPr>
        <w:t>“</w:t>
      </w:r>
      <w:r w:rsidRPr="00553048">
        <w:rPr>
          <w:rFonts w:eastAsia="Times New Roman" w:cs="Times New Roman"/>
          <w:i/>
          <w:iCs/>
          <w:szCs w:val="24"/>
          <w:u w:val="single"/>
          <w:lang w:eastAsia="es-CO"/>
        </w:rPr>
        <w:t>La Autoridad Nacional de Licencias Ambientales, ANLA, o quien haga sus veces, certificará en cada caso, los elementos, equipos y maquinaria que de conformidad con el </w:t>
      </w:r>
      <w:hyperlink r:id="rId13" w:tooltip="Estatuto Tributario CETA" w:history="1">
        <w:r w:rsidRPr="00553048">
          <w:rPr>
            <w:rFonts w:eastAsia="Times New Roman" w:cs="Times New Roman"/>
            <w:i/>
            <w:iCs/>
            <w:szCs w:val="24"/>
            <w:u w:val="single"/>
            <w:lang w:eastAsia="es-CO"/>
          </w:rPr>
          <w:t>artículo 424</w:t>
        </w:r>
      </w:hyperlink>
      <w:r w:rsidRPr="00553048">
        <w:rPr>
          <w:rFonts w:eastAsia="Times New Roman" w:cs="Times New Roman"/>
          <w:i/>
          <w:iCs/>
          <w:szCs w:val="24"/>
          <w:u w:val="single"/>
          <w:lang w:eastAsia="es-CO"/>
        </w:rPr>
        <w:t> numeral 7 del estatuto tributario, estén destinados a la construcción, instalación, montaje y operación de sistemas de control y monitoreo ambiental para el cumplimiento de las disposiciones, regulaciones y estándares ambientales vigentes</w:t>
      </w:r>
      <w:r w:rsidRPr="00553048">
        <w:rPr>
          <w:rFonts w:eastAsia="Times New Roman" w:cs="Times New Roman"/>
          <w:i/>
          <w:i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8. Que por el artículo 1º del Decreto 1564 de 2017, que modificó el literal d) del artículo 1.3.1.14.7 del Decreto 1625 de 2016, estableció que: </w:t>
      </w:r>
      <w:r w:rsidRPr="00553048">
        <w:rPr>
          <w:rFonts w:eastAsia="Times New Roman" w:cs="Times New Roman"/>
          <w:i/>
          <w:iCs/>
          <w:szCs w:val="24"/>
          <w:lang w:eastAsia="es-CO"/>
        </w:rPr>
        <w:t>“(…) En el marco de lo dispuesto en los artículos </w:t>
      </w:r>
      <w:hyperlink r:id="rId14" w:tooltip="Estatuto Tributario CETA" w:history="1">
        <w:r w:rsidRPr="00553048">
          <w:rPr>
            <w:rFonts w:eastAsia="Times New Roman" w:cs="Times New Roman"/>
            <w:i/>
            <w:iCs/>
            <w:szCs w:val="24"/>
            <w:u w:val="single"/>
            <w:lang w:eastAsia="es-CO"/>
          </w:rPr>
          <w:t>424</w:t>
        </w:r>
      </w:hyperlink>
      <w:r w:rsidRPr="00553048">
        <w:rPr>
          <w:rFonts w:eastAsia="Times New Roman" w:cs="Times New Roman"/>
          <w:i/>
          <w:iCs/>
          <w:szCs w:val="24"/>
          <w:lang w:eastAsia="es-CO"/>
        </w:rPr>
        <w:t> numeral 7 y </w:t>
      </w:r>
      <w:hyperlink r:id="rId15" w:tooltip="Estatuto Tributario CETA" w:history="1">
        <w:r w:rsidRPr="00553048">
          <w:rPr>
            <w:rFonts w:eastAsia="Times New Roman" w:cs="Times New Roman"/>
            <w:i/>
            <w:iCs/>
            <w:szCs w:val="24"/>
            <w:u w:val="single"/>
            <w:lang w:eastAsia="es-CO"/>
          </w:rPr>
          <w:t>428</w:t>
        </w:r>
      </w:hyperlink>
      <w:r w:rsidRPr="00553048">
        <w:rPr>
          <w:rFonts w:eastAsia="Times New Roman" w:cs="Times New Roman"/>
          <w:i/>
          <w:iCs/>
          <w:szCs w:val="24"/>
          <w:lang w:eastAsia="es-CO"/>
        </w:rPr>
        <w:t> literal f) del estatuto tributario, la Autoridad Nacional de Licencias Ambientales, ANLA, o quien haga sus veces, no acreditará la exclusión de IVA respecto de: … d) Equipos, elementos y maquinaria destinados a proyectos, programas o actividades de reducción en el consumo de energía y/o eficiencia energética, </w:t>
      </w:r>
      <w:r w:rsidRPr="00553048">
        <w:rPr>
          <w:rFonts w:eastAsia="Times New Roman" w:cs="Times New Roman"/>
          <w:i/>
          <w:iCs/>
          <w:szCs w:val="24"/>
          <w:u w:val="single"/>
          <w:lang w:eastAsia="es-CO"/>
        </w:rPr>
        <w:t xml:space="preserve">a menos que estos últimos correspondan a la implementación de metas ambientales concertadas con el Ministerio de Ambiente y Desarrollo Sostenible, para el desarrollo de las estrategias, planes </w:t>
      </w:r>
      <w:r w:rsidRPr="00553048">
        <w:rPr>
          <w:rFonts w:eastAsia="Times New Roman" w:cs="Times New Roman"/>
          <w:i/>
          <w:iCs/>
          <w:szCs w:val="24"/>
          <w:u w:val="single"/>
          <w:lang w:eastAsia="es-CO"/>
        </w:rPr>
        <w:lastRenderedPageBreak/>
        <w:t>y programas nacionales de producción más limpia, ahorro y eficiencia energética establecidos por el Ministerio de Minas y Energía</w:t>
      </w:r>
      <w:r w:rsidRPr="00553048">
        <w:rPr>
          <w:rFonts w:eastAsia="Times New Roman" w:cs="Times New Roman"/>
          <w:i/>
          <w:i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9. En este sentido, el MADS estableció por medio de la Resolución No. 2000 de 2017 la forma y requisitos para presentar ante la ANLA las solicitudes de acreditación para obtener dichos beneficios tributarios. Adicionalmente, este documento establece en el artículo 5, la necesidad de allegar a la solicitud de certificación un certificado emitido por la UPME como requisito específico.</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10. Respecto a lo anterior, la UPME expidió la Resolución No. 585 de 2017, por la cual se establece el procedimiento para conceptuar sobre los proyectos de eficiencia energética/gestión eficiente de la energía que se presenten para acceder al beneficio tributario de que trata el literal d) del artículo 1.3.1.14.7 del Decreto 1625 de 2016; con sus respectivas modificaciones, </w:t>
      </w:r>
      <w:r w:rsidRPr="00553048">
        <w:rPr>
          <w:rFonts w:eastAsia="Times New Roman" w:cs="Times New Roman"/>
          <w:szCs w:val="24"/>
          <w:u w:val="single"/>
          <w:lang w:eastAsia="es-CO"/>
        </w:rPr>
        <w:t>destinada exclusivamente al incentivo tributario de exclusión de IVA.</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11. Teniendo en cuenta lo anterior, la UPME estableció por medio de la Resolución No. 463 de 2018, un cuerpo normativo con todos los procedimientos que se requieren para acceder a los incentivos tributarios relacionados con la exclusión de IVA establecida en el numeral 7 del </w:t>
      </w:r>
      <w:hyperlink r:id="rId16" w:tooltip="Estatuto Tributario CETA" w:history="1">
        <w:r w:rsidRPr="00553048">
          <w:rPr>
            <w:rFonts w:eastAsia="Times New Roman" w:cs="Times New Roman"/>
            <w:szCs w:val="24"/>
            <w:u w:val="single"/>
            <w:lang w:eastAsia="es-CO"/>
          </w:rPr>
          <w:t>artículo 424</w:t>
        </w:r>
      </w:hyperlink>
      <w:r w:rsidRPr="00553048">
        <w:rPr>
          <w:rFonts w:eastAsia="Times New Roman" w:cs="Times New Roman"/>
          <w:szCs w:val="24"/>
          <w:lang w:eastAsia="es-CO"/>
        </w:rPr>
        <w:t> y literal f) del </w:t>
      </w:r>
      <w:hyperlink r:id="rId17" w:tooltip="Estatuto Tributario CETA" w:history="1">
        <w:r w:rsidRPr="00553048">
          <w:rPr>
            <w:rFonts w:eastAsia="Times New Roman" w:cs="Times New Roman"/>
            <w:szCs w:val="24"/>
            <w:u w:val="single"/>
            <w:lang w:eastAsia="es-CO"/>
          </w:rPr>
          <w:t>artículo 428</w:t>
        </w:r>
      </w:hyperlink>
      <w:r w:rsidRPr="00553048">
        <w:rPr>
          <w:rFonts w:eastAsia="Times New Roman" w:cs="Times New Roman"/>
          <w:szCs w:val="24"/>
          <w:lang w:eastAsia="es-CO"/>
        </w:rPr>
        <w:t> del E.T.</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12. Luego de aclarar las normas aplicables a la exclusión del IVA establecida en el numeral 7 del </w:t>
      </w:r>
      <w:hyperlink r:id="rId18" w:tooltip="Estatuto Tributario CETA" w:history="1">
        <w:r w:rsidRPr="00553048">
          <w:rPr>
            <w:rFonts w:eastAsia="Times New Roman" w:cs="Times New Roman"/>
            <w:szCs w:val="24"/>
            <w:u w:val="single"/>
            <w:lang w:eastAsia="es-CO"/>
          </w:rPr>
          <w:t>artículo 424</w:t>
        </w:r>
      </w:hyperlink>
      <w:r w:rsidRPr="00553048">
        <w:rPr>
          <w:rFonts w:eastAsia="Times New Roman" w:cs="Times New Roman"/>
          <w:szCs w:val="24"/>
          <w:lang w:eastAsia="es-CO"/>
        </w:rPr>
        <w:t> y literal f) del </w:t>
      </w:r>
      <w:hyperlink r:id="rId19" w:tooltip="Estatuto Tributario CETA" w:history="1">
        <w:r w:rsidRPr="00553048">
          <w:rPr>
            <w:rFonts w:eastAsia="Times New Roman" w:cs="Times New Roman"/>
            <w:szCs w:val="24"/>
            <w:u w:val="single"/>
            <w:lang w:eastAsia="es-CO"/>
          </w:rPr>
          <w:t>artículo 428</w:t>
        </w:r>
      </w:hyperlink>
      <w:r w:rsidRPr="00553048">
        <w:rPr>
          <w:rFonts w:eastAsia="Times New Roman" w:cs="Times New Roman"/>
          <w:szCs w:val="24"/>
          <w:lang w:eastAsia="es-CO"/>
        </w:rPr>
        <w:t> del E.T., consideramos que en relación a la pregunta No. 1 de la consulta, únicamente es necesario obtener la certificación emitida por la ANLA en los términos establecido (sic) en la Resolución No. 2000 de 2017, para obtener la exclusión del IVA correspondiente. Esto, sin perjuicio de estar obligados a cumplir con todos los requisitos necesario (sic) para obtener la certificación, donde se incluye lo correspondiente a la UPME.</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13. Respecto a la pregunta No. 2 de la referencia, es necesario reconocer que la Resolución No. 2000 de 2017 exige que dentro del proceso de solicitud del certificado ante la ANLA se indiquen o enlisten los bienes y los respectivos proveedores que serán objeto de la exclusión establecida en el numeral 7 del </w:t>
      </w:r>
      <w:hyperlink r:id="rId20" w:tooltip="Estatuto Tributario CETA" w:history="1">
        <w:r w:rsidRPr="00553048">
          <w:rPr>
            <w:rFonts w:eastAsia="Times New Roman" w:cs="Times New Roman"/>
            <w:szCs w:val="24"/>
            <w:u w:val="single"/>
            <w:lang w:eastAsia="es-CO"/>
          </w:rPr>
          <w:t>artículo 424</w:t>
        </w:r>
      </w:hyperlink>
      <w:r w:rsidRPr="00553048">
        <w:rPr>
          <w:rFonts w:eastAsia="Times New Roman" w:cs="Times New Roman"/>
          <w:szCs w:val="24"/>
          <w:lang w:eastAsia="es-CO"/>
        </w:rPr>
        <w:t> y literal f) del </w:t>
      </w:r>
      <w:hyperlink r:id="rId21" w:tooltip="Estatuto Tributario CETA" w:history="1">
        <w:r w:rsidRPr="00553048">
          <w:rPr>
            <w:rFonts w:eastAsia="Times New Roman" w:cs="Times New Roman"/>
            <w:szCs w:val="24"/>
            <w:u w:val="single"/>
            <w:lang w:eastAsia="es-CO"/>
          </w:rPr>
          <w:t>artículo 428</w:t>
        </w:r>
      </w:hyperlink>
      <w:r w:rsidRPr="00553048">
        <w:rPr>
          <w:rFonts w:eastAsia="Times New Roman" w:cs="Times New Roman"/>
          <w:szCs w:val="24"/>
          <w:lang w:eastAsia="es-CO"/>
        </w:rPr>
        <w:t> del E.T. En este sentido, la certificación que emita la ANLA debería reconocer los bienes y proveedores facultados para no facturar el IVA.</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b/>
          <w:bCs/>
          <w:szCs w:val="24"/>
          <w:lang w:eastAsia="es-CO"/>
        </w:rPr>
        <w:t>b) </w:t>
      </w:r>
      <w:r w:rsidRPr="00553048">
        <w:rPr>
          <w:rFonts w:eastAsia="Times New Roman" w:cs="Times New Roman"/>
          <w:b/>
          <w:bCs/>
          <w:szCs w:val="24"/>
          <w:u w:val="single"/>
          <w:lang w:eastAsia="es-CO"/>
        </w:rPr>
        <w:t>Pregunta No. 3:</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b/>
          <w:b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 Consideramos que el contribuyente que pretenda aplicar el descuento del impuesto sobre la renta establecido en el </w:t>
      </w:r>
      <w:hyperlink r:id="rId22" w:tooltip="Estatuto Tributario CETA" w:history="1">
        <w:r w:rsidRPr="00553048">
          <w:rPr>
            <w:rFonts w:eastAsia="Times New Roman" w:cs="Times New Roman"/>
            <w:szCs w:val="24"/>
            <w:u w:val="single"/>
            <w:lang w:eastAsia="es-CO"/>
          </w:rPr>
          <w:t>artículo 255</w:t>
        </w:r>
      </w:hyperlink>
      <w:r w:rsidRPr="00553048">
        <w:rPr>
          <w:rFonts w:eastAsia="Times New Roman" w:cs="Times New Roman"/>
          <w:szCs w:val="24"/>
          <w:lang w:eastAsia="es-CO"/>
        </w:rPr>
        <w:t> del E.T. deberá acreditar ante la DIAN lo establecido en los literales a), b), c), d), y e) del artículo 1.2.1.18.52 del Decreto 1625 de 2016, modificado por el Decreto 2205 de 2017.</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2. Para llegar a la conclusión anterior, consideramos necesario analizar las normas aplicables al descuento del impuesto sobre la renta establecido en el </w:t>
      </w:r>
      <w:hyperlink r:id="rId23" w:tooltip="Estatuto Tributario CETA" w:history="1">
        <w:r w:rsidRPr="00553048">
          <w:rPr>
            <w:rFonts w:eastAsia="Times New Roman" w:cs="Times New Roman"/>
            <w:szCs w:val="24"/>
            <w:u w:val="single"/>
            <w:lang w:eastAsia="es-CO"/>
          </w:rPr>
          <w:t>artículo 255</w:t>
        </w:r>
      </w:hyperlink>
      <w:r w:rsidRPr="00553048">
        <w:rPr>
          <w:rFonts w:eastAsia="Times New Roman" w:cs="Times New Roman"/>
          <w:szCs w:val="24"/>
          <w:lang w:eastAsia="es-CO"/>
        </w:rPr>
        <w:t> del E.T.</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3. El </w:t>
      </w:r>
      <w:hyperlink r:id="rId24" w:tooltip="Estatuto Tributario CETA" w:history="1">
        <w:r w:rsidRPr="00553048">
          <w:rPr>
            <w:rFonts w:eastAsia="Times New Roman" w:cs="Times New Roman"/>
            <w:szCs w:val="24"/>
            <w:u w:val="single"/>
            <w:lang w:eastAsia="es-CO"/>
          </w:rPr>
          <w:t>artículo 255</w:t>
        </w:r>
      </w:hyperlink>
      <w:r w:rsidRPr="00553048">
        <w:rPr>
          <w:rFonts w:eastAsia="Times New Roman" w:cs="Times New Roman"/>
          <w:szCs w:val="24"/>
          <w:lang w:eastAsia="es-CO"/>
        </w:rPr>
        <w:t> del E.T. establece que: </w:t>
      </w:r>
      <w:r w:rsidRPr="00553048">
        <w:rPr>
          <w:rFonts w:eastAsia="Times New Roman" w:cs="Times New Roman"/>
          <w:i/>
          <w:iCs/>
          <w:szCs w:val="24"/>
          <w:lang w:eastAsia="es-CO"/>
        </w:rPr>
        <w:t>“Las personas jurídicas que realicen directamente inversiones en control, conservación y mejoramiento del medio ambiente, tendrán derecho a descontar de su impuesto sobre la renta a cargo el 25% de las inversiones que hayan realizado en el respectivo año gravable, </w:t>
      </w:r>
      <w:r w:rsidRPr="00553048">
        <w:rPr>
          <w:rFonts w:eastAsia="Times New Roman" w:cs="Times New Roman"/>
          <w:b/>
          <w:bCs/>
          <w:i/>
          <w:iCs/>
          <w:szCs w:val="24"/>
          <w:u w:val="single"/>
          <w:lang w:eastAsia="es-CO"/>
        </w:rPr>
        <w:t>previa acreditación que efectúe la autoridad ambiental respectiva, en la cual deberá tenerse en cuenta los beneficios ambientales directos asociados a dichas inversiones</w:t>
      </w:r>
      <w:r w:rsidRPr="00553048">
        <w:rPr>
          <w:rFonts w:eastAsia="Times New Roman" w:cs="Times New Roman"/>
          <w:b/>
          <w:bCs/>
          <w:i/>
          <w:iCs/>
          <w:szCs w:val="24"/>
          <w:lang w:eastAsia="es-CO"/>
        </w:rPr>
        <w:t>. </w:t>
      </w:r>
      <w:r w:rsidRPr="00553048">
        <w:rPr>
          <w:rFonts w:eastAsia="Times New Roman" w:cs="Times New Roman"/>
          <w:i/>
          <w:iCs/>
          <w:szCs w:val="24"/>
          <w:lang w:eastAsia="es-CO"/>
        </w:rPr>
        <w:t>No darán derecho a descuento las inversiones realizadas por mandato de una autoridad ambiental para mitigar el impacto ambiental producido por la obra o actividad objeto de una licencia ambiental.”</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4. El artículo 1 del Decreto No. 2205 de 2017, modificó el Decreto 1625 de 2016 y reglamentó el </w:t>
      </w:r>
      <w:hyperlink r:id="rId25" w:tooltip="Estatuto Tributario CETA" w:history="1">
        <w:r w:rsidRPr="00553048">
          <w:rPr>
            <w:rFonts w:eastAsia="Times New Roman" w:cs="Times New Roman"/>
            <w:szCs w:val="24"/>
            <w:u w:val="single"/>
            <w:lang w:eastAsia="es-CO"/>
          </w:rPr>
          <w:t>artículo 255</w:t>
        </w:r>
      </w:hyperlink>
      <w:r w:rsidRPr="00553048">
        <w:rPr>
          <w:rFonts w:eastAsia="Times New Roman" w:cs="Times New Roman"/>
          <w:szCs w:val="24"/>
          <w:lang w:eastAsia="es-CO"/>
        </w:rPr>
        <w:t xml:space="preserve"> del E.T., donde estableció en el artículo 1.2.1.18.52 los requisitos para la procedencia del descuento por inversiones en el control del medio ambiente o </w:t>
      </w:r>
      <w:r w:rsidRPr="00553048">
        <w:rPr>
          <w:rFonts w:eastAsia="Times New Roman" w:cs="Times New Roman"/>
          <w:szCs w:val="24"/>
          <w:lang w:eastAsia="es-CO"/>
        </w:rPr>
        <w:lastRenderedPageBreak/>
        <w:t>conservación y mejoramiento del medio ambiente. Dicha norma establece: </w:t>
      </w:r>
      <w:r w:rsidRPr="00553048">
        <w:rPr>
          <w:rFonts w:eastAsia="Times New Roman" w:cs="Times New Roman"/>
          <w:i/>
          <w:iCs/>
          <w:szCs w:val="24"/>
          <w:lang w:eastAsia="es-CO"/>
        </w:rPr>
        <w:t>“Para la procedencia del descuento del impuesto sobre la renta por inversiones en control del medio ambiente o conservación y mejoramiento del medio ambiente, </w:t>
      </w:r>
      <w:r w:rsidRPr="00553048">
        <w:rPr>
          <w:rFonts w:eastAsia="Times New Roman" w:cs="Times New Roman"/>
          <w:b/>
          <w:bCs/>
          <w:i/>
          <w:iCs/>
          <w:szCs w:val="24"/>
          <w:u w:val="single"/>
          <w:lang w:eastAsia="es-CO"/>
        </w:rPr>
        <w:t>el contribuyente deberá acreditar el cumplimiento de los siguientes requisitos y tenerlos a disposición de la Unidad Administrativa Especial Dirección de Impuestos y Aduanas Nacionales (DIAN)</w:t>
      </w:r>
      <w:r w:rsidRPr="00553048">
        <w:rPr>
          <w:rFonts w:eastAsia="Times New Roman" w:cs="Times New Roman"/>
          <w:b/>
          <w:bCs/>
          <w:i/>
          <w:iCs/>
          <w:szCs w:val="24"/>
          <w:lang w:eastAsia="es-CO"/>
        </w:rPr>
        <w:t>:</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a) Que quien realice la inversión sea persona jurídica.</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b) Que la inversión en control del medio ambiente o conservación y mejoramiento del medio ambiente sea efectuada directamente por el contribuyente.</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c) Que la inversión se realice en el año gravable en que se solicita el correspondiente descuento.</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b/>
          <w:bCs/>
          <w:i/>
          <w:iCs/>
          <w:szCs w:val="24"/>
          <w:lang w:eastAsia="es-CO"/>
        </w:rPr>
        <w:t>d) </w:t>
      </w:r>
      <w:r w:rsidRPr="00553048">
        <w:rPr>
          <w:rFonts w:eastAsia="Times New Roman" w:cs="Times New Roman"/>
          <w:b/>
          <w:bCs/>
          <w:i/>
          <w:iCs/>
          <w:szCs w:val="24"/>
          <w:u w:val="single"/>
          <w:lang w:eastAsia="es-CO"/>
        </w:rPr>
        <w:t>Que previamente a la presentación de la declaración de renta y complementario en la cual se solicite el descuento de la inversión, se obtenga certificación de la autoridad ambiental competente en la que se acredite que</w:t>
      </w:r>
      <w:r w:rsidRPr="00553048">
        <w:rPr>
          <w:rFonts w:eastAsia="Times New Roman" w:cs="Times New Roman"/>
          <w:b/>
          <w:bCs/>
          <w:i/>
          <w:iCs/>
          <w:szCs w:val="24"/>
          <w:lang w:eastAsia="es-CO"/>
        </w:rPr>
        <w:t>:</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 </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 La inversión corresponde a control del medio ambiente o conservación y mejoramiento del medio ambiente de acuerdo con los términos y requisitos previstos en los artículos 1.2.1.18.51. al 1.2.1.18.56. del presente decreto, y</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 Que la inversión no se realiza por mandato de una autoridad ambiental para mitigar el impacto ambiental producido por la obra o actividad objeto de una licencia ambiental.</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 </w:t>
      </w:r>
    </w:p>
    <w:p w:rsidR="00553048" w:rsidRPr="00553048" w:rsidRDefault="00553048" w:rsidP="00553048">
      <w:pPr>
        <w:spacing w:after="0" w:line="240" w:lineRule="auto"/>
        <w:ind w:left="180"/>
        <w:jc w:val="both"/>
        <w:rPr>
          <w:rFonts w:eastAsia="Times New Roman" w:cs="Times New Roman"/>
          <w:szCs w:val="24"/>
          <w:lang w:eastAsia="es-CO"/>
        </w:rPr>
      </w:pPr>
      <w:r w:rsidRPr="00553048">
        <w:rPr>
          <w:rFonts w:eastAsia="Times New Roman" w:cs="Times New Roman"/>
          <w:i/>
          <w:iCs/>
          <w:szCs w:val="24"/>
          <w:lang w:eastAsia="es-CO"/>
        </w:rPr>
        <w:t>e) Que se acredite mediante certificación del representante legal y del Revisor Fiscal y/o Contador Público, según el caso, el valor de la inversión en control del medio ambiente o conservación y mejoramiento del medio ambiente, así como el valor del descuento por este concepto.</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i/>
          <w:iCs/>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5. Adicionalmente, el parágrafo 1 del artículo 1.2.1.18.52. supone que el MADS establecerá la forma y requisitos para solicitar ante las autoridades ambientales competentes la acreditación de que trata el literal d) del presente artículo.</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6. En este sentido, el MADS emitió la Resolución 509 de 2018, por medio de la cual se establecen la forma y requisitos para solicitar ante las autoridades ambientales competentes la acreditación o certificación de las inversiones de control del medio ambiente y conservación y mejoramiento del medio ambiente.</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7. Por su lado, la Resolución 509 de 2018 establece en el artículo 3 la necesidad de allegar un certificado emitido por la UPME con requisito específico a la solicitud de certificación ante la ANLA.</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8. Teniendo en cuenta lo anterior, la UPME estableció por medio de la Resolución No. 463 de 2018, un cuerpo normativo con todos los procedimientos que se requieren para acceder a los incentivos tributarios relacionados el descuento tributario del </w:t>
      </w:r>
      <w:hyperlink r:id="rId26" w:tooltip="Estatuto Tributario CETA" w:history="1">
        <w:r w:rsidRPr="00553048">
          <w:rPr>
            <w:rFonts w:eastAsia="Times New Roman" w:cs="Times New Roman"/>
            <w:szCs w:val="24"/>
            <w:u w:val="single"/>
            <w:lang w:eastAsia="es-CO"/>
          </w:rPr>
          <w:t>artículo 255</w:t>
        </w:r>
      </w:hyperlink>
      <w:r w:rsidRPr="00553048">
        <w:rPr>
          <w:rFonts w:eastAsia="Times New Roman" w:cs="Times New Roman"/>
          <w:szCs w:val="24"/>
          <w:lang w:eastAsia="es-CO"/>
        </w:rPr>
        <w:t> del E.T.</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9. En este sentido, es posible reconocer que el contribuyente que pretenda aplicar el beneficio analizado en este numeral deberá acreditar ante la DIAN lo establecido en los literales a), b), c), d), y e) del artículo el artículo (sic) 1.2.1.18.52 del Decreto 1625 de 2016, modificado por el Decreto 2205 de 2017.</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10. Respecto al literal d) del artículo el artículo (sic) 1.2.1.18.52 del Decreto 1625 de 2016, modificado por el Decreto 2205 de 2017, es necesario resaltar que la certificación emitida por la autoridad ambiental competente deberá obtenerse de forma previa a la declaración en que se incluya el beneficio.</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11. Por último, consideramos necesario recordar que, para poder cumplir con el requisito mencionado en el párrafo anterior (certificado emitido por la autoridad ambiental competente), </w:t>
      </w:r>
      <w:r w:rsidRPr="00553048">
        <w:rPr>
          <w:rFonts w:eastAsia="Times New Roman" w:cs="Times New Roman"/>
          <w:i/>
          <w:iCs/>
          <w:szCs w:val="24"/>
          <w:lang w:eastAsia="es-CO"/>
        </w:rPr>
        <w:t>será necesario presentar el certificado emitido por la UPME en los términos establecidos en las normas mencionadas.</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lastRenderedPageBreak/>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Atentamente,</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 </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b/>
          <w:bCs/>
          <w:szCs w:val="24"/>
          <w:lang w:eastAsia="es-CO"/>
        </w:rPr>
        <w:t>LORENZO CASTILLO BARVO</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Subdirector de Gestión Normativa y Doctrina (E)</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Dirección de Gestión Jurídica</w:t>
      </w:r>
    </w:p>
    <w:p w:rsidR="00553048" w:rsidRPr="00553048" w:rsidRDefault="00553048" w:rsidP="00553048">
      <w:pPr>
        <w:spacing w:after="0" w:line="240" w:lineRule="auto"/>
        <w:jc w:val="both"/>
        <w:rPr>
          <w:rFonts w:eastAsia="Times New Roman" w:cs="Times New Roman"/>
          <w:szCs w:val="24"/>
          <w:lang w:eastAsia="es-CO"/>
        </w:rPr>
      </w:pPr>
      <w:r w:rsidRPr="00553048">
        <w:rPr>
          <w:rFonts w:eastAsia="Times New Roman" w:cs="Times New Roman"/>
          <w:szCs w:val="24"/>
          <w:lang w:eastAsia="es-CO"/>
        </w:rPr>
        <w:t>UAE – Dirección de Impuestos y Aduanas Nacionales</w:t>
      </w:r>
    </w:p>
    <w:p w:rsidR="00730617" w:rsidRPr="00553048" w:rsidRDefault="00730617">
      <w:pPr>
        <w:rPr>
          <w:rFonts w:cs="Times New Roman"/>
          <w:szCs w:val="24"/>
        </w:rPr>
      </w:pPr>
    </w:p>
    <w:sectPr w:rsidR="00730617" w:rsidRPr="00553048"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48"/>
    <w:rsid w:val="00553048"/>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D5F0"/>
  <w15:chartTrackingRefBased/>
  <w15:docId w15:val="{5959000F-0775-47B7-B9B2-4985572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26" TargetMode="External"/><Relationship Id="rId13" Type="http://schemas.openxmlformats.org/officeDocument/2006/relationships/hyperlink" Target="https://www.ceta.org.co/html/vista_de_un_articulo.asp?Norma=526" TargetMode="External"/><Relationship Id="rId18" Type="http://schemas.openxmlformats.org/officeDocument/2006/relationships/hyperlink" Target="https://www.ceta.org.co/html/vista_de_un_articulo.asp?Norma=526" TargetMode="External"/><Relationship Id="rId26" Type="http://schemas.openxmlformats.org/officeDocument/2006/relationships/hyperlink" Target="https://www.ceta.org.co/html/vista_de_un_articulo.asp?Norma=32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37" TargetMode="External"/><Relationship Id="rId7" Type="http://schemas.openxmlformats.org/officeDocument/2006/relationships/hyperlink" Target="https://www.ceta.org.co/html/vista_de_un_articulo.asp?Norma=537" TargetMode="External"/><Relationship Id="rId12" Type="http://schemas.openxmlformats.org/officeDocument/2006/relationships/hyperlink" Target="https://www.ceta.org.co/html/vista_de_un_articulo.asp?Norma=537" TargetMode="External"/><Relationship Id="rId17" Type="http://schemas.openxmlformats.org/officeDocument/2006/relationships/hyperlink" Target="https://www.ceta.org.co/html/vista_de_un_articulo.asp?Norma=537" TargetMode="External"/><Relationship Id="rId25" Type="http://schemas.openxmlformats.org/officeDocument/2006/relationships/hyperlink" Target="https://www.ceta.org.co/html/vista_de_un_articulo.asp?Norma=328" TargetMode="External"/><Relationship Id="rId2" Type="http://schemas.openxmlformats.org/officeDocument/2006/relationships/settings" Target="settings.xml"/><Relationship Id="rId16" Type="http://schemas.openxmlformats.org/officeDocument/2006/relationships/hyperlink" Target="https://www.ceta.org.co/html/vista_de_un_articulo.asp?Norma=526" TargetMode="External"/><Relationship Id="rId20" Type="http://schemas.openxmlformats.org/officeDocument/2006/relationships/hyperlink" Target="https://www.ceta.org.co/html/vista_de_un_articulo.asp?Norma=526" TargetMode="External"/><Relationship Id="rId1" Type="http://schemas.openxmlformats.org/officeDocument/2006/relationships/styles" Target="styles.xml"/><Relationship Id="rId6" Type="http://schemas.openxmlformats.org/officeDocument/2006/relationships/hyperlink" Target="https://www.ceta.org.co/html/vista_de_un_articulo.asp?Norma=526" TargetMode="External"/><Relationship Id="rId11" Type="http://schemas.openxmlformats.org/officeDocument/2006/relationships/hyperlink" Target="https://www.ceta.org.co/html/vista_de_un_articulo.asp?Norma=537" TargetMode="External"/><Relationship Id="rId24" Type="http://schemas.openxmlformats.org/officeDocument/2006/relationships/hyperlink" Target="https://www.ceta.org.co/html/vista_de_un_articulo.asp?Norma=328" TargetMode="External"/><Relationship Id="rId5" Type="http://schemas.openxmlformats.org/officeDocument/2006/relationships/hyperlink" Target="https://www.ceta.org.co/html/vista_de_un_articulo.asp?Norma=537" TargetMode="External"/><Relationship Id="rId15" Type="http://schemas.openxmlformats.org/officeDocument/2006/relationships/hyperlink" Target="https://www.ceta.org.co/html/vista_de_un_articulo.asp?Norma=537" TargetMode="External"/><Relationship Id="rId23" Type="http://schemas.openxmlformats.org/officeDocument/2006/relationships/hyperlink" Target="https://www.ceta.org.co/html/vista_de_un_articulo.asp?Norma=328" TargetMode="External"/><Relationship Id="rId28" Type="http://schemas.openxmlformats.org/officeDocument/2006/relationships/theme" Target="theme/theme1.xml"/><Relationship Id="rId10" Type="http://schemas.openxmlformats.org/officeDocument/2006/relationships/hyperlink" Target="https://www.ceta.org.co/html/vista_de_un_articulo.asp?Norma=526" TargetMode="External"/><Relationship Id="rId19" Type="http://schemas.openxmlformats.org/officeDocument/2006/relationships/hyperlink" Target="https://www.ceta.org.co/html/vista_de_un_articulo.asp?Norma=537" TargetMode="External"/><Relationship Id="rId4" Type="http://schemas.openxmlformats.org/officeDocument/2006/relationships/hyperlink" Target="https://www.ceta.org.co/html/vista_de_un_articulo.asp?Norma=526" TargetMode="External"/><Relationship Id="rId9" Type="http://schemas.openxmlformats.org/officeDocument/2006/relationships/hyperlink" Target="https://www.ceta.org.co/html/vista_de_un_articulo.asp?Norma=537" TargetMode="External"/><Relationship Id="rId14" Type="http://schemas.openxmlformats.org/officeDocument/2006/relationships/hyperlink" Target="https://www.ceta.org.co/html/vista_de_un_articulo.asp?Norma=526" TargetMode="External"/><Relationship Id="rId22" Type="http://schemas.openxmlformats.org/officeDocument/2006/relationships/hyperlink" Target="https://www.ceta.org.co/html/vista_de_un_articulo.asp?Norma=328"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2665</Words>
  <Characters>14662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2019-05-02T23:15:00Z</dcterms:created>
  <dcterms:modified xsi:type="dcterms:W3CDTF">2019-05-02T23:18:00Z</dcterms:modified>
</cp:coreProperties>
</file>