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C1" w:rsidRPr="000E53C1" w:rsidRDefault="000E53C1" w:rsidP="000E53C1">
      <w:pPr>
        <w:shd w:val="clear" w:color="auto" w:fill="FFFFFF"/>
        <w:spacing w:line="240" w:lineRule="auto"/>
        <w:jc w:val="center"/>
        <w:rPr>
          <w:rFonts w:eastAsia="Times New Roman" w:cs="Times New Roman"/>
          <w:b/>
          <w:bCs/>
          <w:szCs w:val="24"/>
          <w:lang w:eastAsia="es-CO"/>
        </w:rPr>
      </w:pPr>
    </w:p>
    <w:p w:rsidR="000E53C1" w:rsidRDefault="000E53C1" w:rsidP="000E53C1">
      <w:pPr>
        <w:shd w:val="clear" w:color="auto" w:fill="FFFFFF"/>
        <w:spacing w:line="240" w:lineRule="auto"/>
        <w:jc w:val="center"/>
        <w:rPr>
          <w:rFonts w:eastAsia="Times New Roman" w:cs="Times New Roman"/>
          <w:b/>
          <w:bCs/>
          <w:szCs w:val="24"/>
          <w:lang w:eastAsia="es-CO"/>
        </w:rPr>
      </w:pPr>
    </w:p>
    <w:p w:rsidR="000E53C1" w:rsidRDefault="000E53C1" w:rsidP="000E53C1">
      <w:pPr>
        <w:shd w:val="clear" w:color="auto" w:fill="FFFFFF"/>
        <w:spacing w:line="240" w:lineRule="auto"/>
        <w:jc w:val="center"/>
        <w:rPr>
          <w:rFonts w:eastAsia="Times New Roman" w:cs="Times New Roman"/>
          <w:b/>
          <w:bCs/>
          <w:szCs w:val="24"/>
          <w:lang w:eastAsia="es-CO"/>
        </w:rPr>
      </w:pPr>
    </w:p>
    <w:p w:rsidR="000E53C1" w:rsidRPr="000E53C1" w:rsidRDefault="000E53C1" w:rsidP="000E53C1">
      <w:pPr>
        <w:shd w:val="clear" w:color="auto" w:fill="FFFFFF"/>
        <w:spacing w:line="240" w:lineRule="auto"/>
        <w:jc w:val="center"/>
        <w:rPr>
          <w:rFonts w:eastAsia="Times New Roman" w:cs="Times New Roman"/>
          <w:szCs w:val="24"/>
          <w:lang w:eastAsia="es-CO"/>
        </w:rPr>
      </w:pPr>
      <w:bookmarkStart w:id="0" w:name="_GoBack"/>
      <w:bookmarkEnd w:id="0"/>
      <w:r w:rsidRPr="000E53C1">
        <w:rPr>
          <w:rFonts w:eastAsia="Times New Roman" w:cs="Times New Roman"/>
          <w:b/>
          <w:bCs/>
          <w:szCs w:val="24"/>
          <w:lang w:eastAsia="es-CO"/>
        </w:rPr>
        <w:t>OFICIO Nº 1059 [010313]</w:t>
      </w:r>
    </w:p>
    <w:p w:rsidR="000E53C1" w:rsidRPr="000E53C1" w:rsidRDefault="000E53C1" w:rsidP="000E53C1">
      <w:pPr>
        <w:shd w:val="clear" w:color="auto" w:fill="FFFFFF"/>
        <w:spacing w:line="240" w:lineRule="auto"/>
        <w:jc w:val="center"/>
        <w:rPr>
          <w:rFonts w:eastAsia="Times New Roman" w:cs="Times New Roman"/>
          <w:szCs w:val="24"/>
          <w:lang w:eastAsia="es-CO"/>
        </w:rPr>
      </w:pPr>
      <w:r w:rsidRPr="000E53C1">
        <w:rPr>
          <w:rFonts w:eastAsia="Times New Roman" w:cs="Times New Roman"/>
          <w:b/>
          <w:bCs/>
          <w:szCs w:val="24"/>
          <w:lang w:eastAsia="es-CO"/>
        </w:rPr>
        <w:t>02-05-2019</w:t>
      </w:r>
    </w:p>
    <w:p w:rsidR="000E53C1" w:rsidRPr="000E53C1" w:rsidRDefault="000E53C1" w:rsidP="000E53C1">
      <w:pPr>
        <w:shd w:val="clear" w:color="auto" w:fill="FFFFFF"/>
        <w:spacing w:line="240" w:lineRule="auto"/>
        <w:jc w:val="center"/>
        <w:rPr>
          <w:rFonts w:eastAsia="Times New Roman" w:cs="Times New Roman"/>
          <w:szCs w:val="24"/>
          <w:lang w:eastAsia="es-CO"/>
        </w:rPr>
      </w:pPr>
      <w:r w:rsidRPr="000E53C1">
        <w:rPr>
          <w:rFonts w:eastAsia="Times New Roman" w:cs="Times New Roman"/>
          <w:b/>
          <w:bCs/>
          <w:szCs w:val="24"/>
          <w:lang w:eastAsia="es-CO"/>
        </w:rPr>
        <w:t>DIAN</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b/>
          <w:bCs/>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b/>
          <w:bCs/>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Subdirección de Gestión Normativa y Doctrina</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100208221 – 001059</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Bogotá, D.C.</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proofErr w:type="spellStart"/>
      <w:r w:rsidRPr="000E53C1">
        <w:rPr>
          <w:rFonts w:eastAsia="Times New Roman" w:cs="Times New Roman"/>
          <w:b/>
          <w:bCs/>
          <w:szCs w:val="24"/>
          <w:lang w:eastAsia="es-CO"/>
        </w:rPr>
        <w:t>Ref</w:t>
      </w:r>
      <w:proofErr w:type="spellEnd"/>
      <w:r w:rsidRPr="000E53C1">
        <w:rPr>
          <w:rFonts w:eastAsia="Times New Roman" w:cs="Times New Roman"/>
          <w:b/>
          <w:bCs/>
          <w:szCs w:val="24"/>
          <w:lang w:eastAsia="es-CO"/>
        </w:rPr>
        <w:t>: </w:t>
      </w:r>
      <w:r w:rsidRPr="000E53C1">
        <w:rPr>
          <w:rFonts w:eastAsia="Times New Roman" w:cs="Times New Roman"/>
          <w:szCs w:val="24"/>
          <w:lang w:eastAsia="es-CO"/>
        </w:rPr>
        <w:t>Radicado 100018215 del 20/03/2019</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5382"/>
      </w:tblGrid>
      <w:tr w:rsidR="000E53C1" w:rsidRPr="000E53C1" w:rsidTr="000E53C1">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szCs w:val="24"/>
                <w:lang w:eastAsia="es-CO"/>
              </w:rPr>
              <w:t>Retención en la fuente</w:t>
            </w:r>
          </w:p>
        </w:tc>
      </w:tr>
      <w:tr w:rsidR="000E53C1" w:rsidRPr="000E53C1" w:rsidTr="000E53C1">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szCs w:val="24"/>
                <w:lang w:eastAsia="es-CO"/>
              </w:rPr>
              <w:t>Tarifa de Retención por Enajenación de Activos Fijos</w:t>
            </w:r>
          </w:p>
        </w:tc>
      </w:tr>
      <w:tr w:rsidR="000E53C1" w:rsidRPr="000E53C1" w:rsidTr="000E53C1">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b/>
                <w:bCs/>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szCs w:val="24"/>
                <w:lang w:eastAsia="es-CO"/>
              </w:rPr>
              <w:t>Estatuto Tributario – </w:t>
            </w:r>
            <w:hyperlink r:id="rId4" w:tooltip="Estatuto Tributario CETA" w:history="1">
              <w:r w:rsidRPr="000E53C1">
                <w:rPr>
                  <w:rFonts w:eastAsia="Times New Roman" w:cs="Times New Roman"/>
                  <w:szCs w:val="24"/>
                  <w:u w:val="single"/>
                  <w:lang w:eastAsia="es-CO"/>
                </w:rPr>
                <w:t>Artículo 401</w:t>
              </w:r>
            </w:hyperlink>
          </w:p>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szCs w:val="24"/>
                <w:lang w:eastAsia="es-CO"/>
              </w:rPr>
              <w:t>Estatuto Tributario – </w:t>
            </w:r>
            <w:hyperlink r:id="rId5" w:tooltip="Estatuto Tributario CETA" w:history="1">
              <w:r w:rsidRPr="000E53C1">
                <w:rPr>
                  <w:rFonts w:eastAsia="Times New Roman" w:cs="Times New Roman"/>
                  <w:szCs w:val="24"/>
                  <w:u w:val="single"/>
                  <w:lang w:eastAsia="es-CO"/>
                </w:rPr>
                <w:t>Artículo 398</w:t>
              </w:r>
            </w:hyperlink>
          </w:p>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szCs w:val="24"/>
                <w:lang w:eastAsia="es-CO"/>
              </w:rPr>
              <w:t>Estatuto Tributario – </w:t>
            </w:r>
            <w:hyperlink r:id="rId6" w:tooltip="Estatuto Tributario CETA" w:history="1">
              <w:r w:rsidRPr="000E53C1">
                <w:rPr>
                  <w:rFonts w:eastAsia="Times New Roman" w:cs="Times New Roman"/>
                  <w:szCs w:val="24"/>
                  <w:u w:val="single"/>
                  <w:lang w:eastAsia="es-CO"/>
                </w:rPr>
                <w:t>Artículo 60</w:t>
              </w:r>
            </w:hyperlink>
          </w:p>
          <w:p w:rsidR="000E53C1" w:rsidRPr="000E53C1" w:rsidRDefault="000E53C1" w:rsidP="000E53C1">
            <w:pPr>
              <w:spacing w:line="240" w:lineRule="auto"/>
              <w:rPr>
                <w:rFonts w:eastAsia="Times New Roman" w:cs="Times New Roman"/>
                <w:szCs w:val="24"/>
                <w:lang w:eastAsia="es-CO"/>
              </w:rPr>
            </w:pPr>
            <w:r w:rsidRPr="000E53C1">
              <w:rPr>
                <w:rFonts w:eastAsia="Times New Roman" w:cs="Times New Roman"/>
                <w:szCs w:val="24"/>
                <w:lang w:eastAsia="es-CO"/>
              </w:rPr>
              <w:t>Decreto 1625 de 2016 – Artículo 1.2.4.9.1</w:t>
            </w:r>
          </w:p>
        </w:tc>
      </w:tr>
    </w:tbl>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Estimado señor Torres:</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Mediante escrito radicado 100018215 del 20 de marzo de 2019 esta Subdirección recibió una consulta por medio de la cual se solicita resolver la siguiente inquietud:</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i/>
          <w:iCs/>
          <w:szCs w:val="24"/>
          <w:lang w:eastAsia="es-CO"/>
        </w:rPr>
        <w:t>¿Qué tarifa de retención en la fuente se debe aplicar en la venta de un bien inmueble cuando el vendedor es persona jurídica y el comprador es persona jurídica, si se trata de la venta de un activo fijo o un activo movible?</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i/>
          <w:iCs/>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En atención a la consulta, se procede a dar respuesta a su consulta desde una perspectiva tributaria:</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b/>
          <w:bCs/>
          <w:szCs w:val="24"/>
          <w:lang w:eastAsia="es-CO"/>
        </w:rPr>
        <w:t>1. </w:t>
      </w:r>
      <w:r w:rsidRPr="000E53C1">
        <w:rPr>
          <w:rFonts w:eastAsia="Times New Roman" w:cs="Times New Roman"/>
          <w:b/>
          <w:bCs/>
          <w:szCs w:val="24"/>
          <w:u w:val="single"/>
          <w:lang w:eastAsia="es-CO"/>
        </w:rPr>
        <w:t>Tarifa de retención aplicable según los cambios incluidos en el </w:t>
      </w:r>
      <w:hyperlink r:id="rId7" w:tooltip="Estatuto Tributario CETA" w:history="1">
        <w:r w:rsidRPr="000E53C1">
          <w:rPr>
            <w:rFonts w:eastAsia="Times New Roman" w:cs="Times New Roman"/>
            <w:b/>
            <w:bCs/>
            <w:szCs w:val="24"/>
            <w:u w:val="single"/>
            <w:lang w:eastAsia="es-CO"/>
          </w:rPr>
          <w:t>artículo 401</w:t>
        </w:r>
      </w:hyperlink>
      <w:r w:rsidRPr="000E53C1">
        <w:rPr>
          <w:rFonts w:eastAsia="Times New Roman" w:cs="Times New Roman"/>
          <w:b/>
          <w:bCs/>
          <w:szCs w:val="24"/>
          <w:u w:val="single"/>
          <w:lang w:eastAsia="es-CO"/>
        </w:rPr>
        <w:t> del Estatuto Tributario (“E.T.”), por la entrada en vigencia de la Ley 1943 de 2018</w:t>
      </w:r>
      <w:r w:rsidRPr="000E53C1">
        <w:rPr>
          <w:rFonts w:eastAsia="Times New Roman" w:cs="Times New Roman"/>
          <w:b/>
          <w:bCs/>
          <w:szCs w:val="24"/>
          <w:lang w:eastAsia="es-CO"/>
        </w:rPr>
        <w:t>:</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b/>
          <w:bCs/>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xml:space="preserve">1.1. Sobre el particular, se concluye que la tarifa de retención en la fuente aplicable en la venta de un bien inmueble que responda a la naturaleza de activo fijo o activo movible, es indistintamente, del </w:t>
      </w:r>
      <w:proofErr w:type="gramStart"/>
      <w:r w:rsidRPr="000E53C1">
        <w:rPr>
          <w:rFonts w:eastAsia="Times New Roman" w:cs="Times New Roman"/>
          <w:szCs w:val="24"/>
          <w:lang w:eastAsia="es-CO"/>
        </w:rPr>
        <w:t>dos punto</w:t>
      </w:r>
      <w:proofErr w:type="gramEnd"/>
      <w:r w:rsidRPr="000E53C1">
        <w:rPr>
          <w:rFonts w:eastAsia="Times New Roman" w:cs="Times New Roman"/>
          <w:szCs w:val="24"/>
          <w:lang w:eastAsia="es-CO"/>
        </w:rPr>
        <w:t xml:space="preserve"> cinco por ciento (2,5%), tal como lo indica el artículo 1.2.4.9.1 del Decreto 1625 de 2016.</w:t>
      </w:r>
    </w:p>
    <w:p w:rsidR="000E53C1" w:rsidRPr="000E53C1" w:rsidRDefault="000E53C1" w:rsidP="000E53C1">
      <w:pPr>
        <w:shd w:val="clear" w:color="auto" w:fill="FFFFFF"/>
        <w:spacing w:line="240" w:lineRule="auto"/>
        <w:rPr>
          <w:rFonts w:eastAsia="Times New Roman" w:cs="Times New Roman"/>
          <w:szCs w:val="24"/>
          <w:lang w:eastAsia="es-CO"/>
        </w:rPr>
      </w:pP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lastRenderedPageBreak/>
        <w:t>1.2. Lo anterior, atendiendo a las siguientes consideraciones:</w:t>
      </w:r>
    </w:p>
    <w:p w:rsidR="000E53C1" w:rsidRPr="000E53C1" w:rsidRDefault="000E53C1" w:rsidP="000E53C1">
      <w:pPr>
        <w:shd w:val="clear" w:color="auto" w:fill="FFFFFF"/>
        <w:spacing w:line="240" w:lineRule="auto"/>
        <w:rPr>
          <w:rFonts w:eastAsia="Times New Roman" w:cs="Times New Roman"/>
          <w:szCs w:val="24"/>
          <w:lang w:eastAsia="es-CO"/>
        </w:rPr>
      </w:pP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1.3. Mediante los Oficios 004859 y 004860 del 27 de febrero de 2019, este despacho se pronunció sobre los problemas de interpretación que resultan de la inclusión del parágrafo del </w:t>
      </w:r>
      <w:hyperlink r:id="rId8" w:tooltip="Estatuto Tributario CETA" w:history="1">
        <w:r w:rsidRPr="000E53C1">
          <w:rPr>
            <w:rFonts w:eastAsia="Times New Roman" w:cs="Times New Roman"/>
            <w:szCs w:val="24"/>
            <w:u w:val="single"/>
            <w:lang w:eastAsia="es-CO"/>
          </w:rPr>
          <w:t>artículo 401</w:t>
        </w:r>
      </w:hyperlink>
      <w:r w:rsidRPr="000E53C1">
        <w:rPr>
          <w:rFonts w:eastAsia="Times New Roman" w:cs="Times New Roman"/>
          <w:szCs w:val="24"/>
          <w:lang w:eastAsia="es-CO"/>
        </w:rPr>
        <w:t> del E.T., y la aplicación del </w:t>
      </w:r>
      <w:hyperlink r:id="rId9" w:tooltip="Estatuto Tributario CETA" w:history="1">
        <w:r w:rsidRPr="000E53C1">
          <w:rPr>
            <w:rFonts w:eastAsia="Times New Roman" w:cs="Times New Roman"/>
            <w:szCs w:val="24"/>
            <w:u w:val="single"/>
            <w:lang w:eastAsia="es-CO"/>
          </w:rPr>
          <w:t>artículo 398</w:t>
        </w:r>
      </w:hyperlink>
      <w:r w:rsidRPr="000E53C1">
        <w:rPr>
          <w:rFonts w:eastAsia="Times New Roman" w:cs="Times New Roman"/>
          <w:szCs w:val="24"/>
          <w:lang w:eastAsia="es-CO"/>
        </w:rPr>
        <w:t> del E.T., a través del análisis de los cuatro supuestos que se enuncian a continuación:</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a. Que tanto el vendedor como el comprador sean personas naturales</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b. Que el vendedor sea persona natural y el comprador sea una persona jurídica</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c. Que el vendedor sea persona jurídica y el comprador sea una persona jurídica</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d. Que el vendedor sea persona jurídica y el comprador sea una persona natural</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1.4. Respecto a la tarifa de retención aplicable en el escenario que plantea el consultante, donde el vendedor y el comprador son personas jurídicas, se estableció que esta será la prevista en el artículo 1.2.4.9.1 del Decreto 1625 de 2016. Es decir, la que se señala en el siguiente extracto de la norma:</w:t>
      </w:r>
    </w:p>
    <w:p w:rsidR="000E53C1" w:rsidRPr="000E53C1" w:rsidRDefault="000E53C1" w:rsidP="000E53C1">
      <w:pPr>
        <w:shd w:val="clear" w:color="auto" w:fill="FFFFFF"/>
        <w:spacing w:line="240" w:lineRule="auto"/>
        <w:ind w:left="180"/>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ind w:left="180"/>
        <w:rPr>
          <w:rFonts w:eastAsia="Times New Roman" w:cs="Times New Roman"/>
          <w:szCs w:val="24"/>
          <w:lang w:eastAsia="es-CO"/>
        </w:rPr>
      </w:pPr>
      <w:r w:rsidRPr="000E53C1">
        <w:rPr>
          <w:rFonts w:eastAsia="Times New Roman" w:cs="Times New Roman"/>
          <w:i/>
          <w:iCs/>
          <w:szCs w:val="24"/>
          <w:lang w:eastAsia="es-CO"/>
        </w:rPr>
        <w:t xml:space="preserve">“(…) Cuando el pago o abono en cuenta corresponda a la adquisición de bienes raíces cuya destinación y uso sea vivienda de habitación, la retención prevista en este artículo será del uno por ciento (1%) por las primeras veinte mil (20.000) UVT. Para el exceso de dicho monto, la tarifa de retención será del </w:t>
      </w:r>
      <w:proofErr w:type="gramStart"/>
      <w:r w:rsidRPr="000E53C1">
        <w:rPr>
          <w:rFonts w:eastAsia="Times New Roman" w:cs="Times New Roman"/>
          <w:i/>
          <w:iCs/>
          <w:szCs w:val="24"/>
          <w:lang w:eastAsia="es-CO"/>
        </w:rPr>
        <w:t>dos punto</w:t>
      </w:r>
      <w:proofErr w:type="gramEnd"/>
      <w:r w:rsidRPr="000E53C1">
        <w:rPr>
          <w:rFonts w:eastAsia="Times New Roman" w:cs="Times New Roman"/>
          <w:i/>
          <w:iCs/>
          <w:szCs w:val="24"/>
          <w:lang w:eastAsia="es-CO"/>
        </w:rPr>
        <w:t xml:space="preserve"> cinco por ciento (2.5%). Cuando el pago o abono en cuenta corresponda a la adquisición de bienes raíces cuya destinación y uso sean distintos a vivienda de habitación, la retención prevista en este artículo será del </w:t>
      </w:r>
      <w:proofErr w:type="gramStart"/>
      <w:r w:rsidRPr="000E53C1">
        <w:rPr>
          <w:rFonts w:eastAsia="Times New Roman" w:cs="Times New Roman"/>
          <w:i/>
          <w:iCs/>
          <w:szCs w:val="24"/>
          <w:lang w:eastAsia="es-CO"/>
        </w:rPr>
        <w:t>dos punto</w:t>
      </w:r>
      <w:proofErr w:type="gramEnd"/>
      <w:r w:rsidRPr="000E53C1">
        <w:rPr>
          <w:rFonts w:eastAsia="Times New Roman" w:cs="Times New Roman"/>
          <w:i/>
          <w:iCs/>
          <w:szCs w:val="24"/>
          <w:lang w:eastAsia="es-CO"/>
        </w:rPr>
        <w:t xml:space="preserve"> cinco por ciento (2.5%).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i/>
          <w:iCs/>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1.5. Como se evidencia, este artículo no hace distinción entre la naturaleza de los activos enajenados, pues tanto en la definición de activos fijos como en la de activos movibles que provee el </w:t>
      </w:r>
      <w:hyperlink r:id="rId10" w:tooltip="Estatuto Tributario CETA" w:history="1">
        <w:r w:rsidRPr="000E53C1">
          <w:rPr>
            <w:rFonts w:eastAsia="Times New Roman" w:cs="Times New Roman"/>
            <w:szCs w:val="24"/>
            <w:u w:val="single"/>
            <w:lang w:eastAsia="es-CO"/>
          </w:rPr>
          <w:t>artículo 60</w:t>
        </w:r>
      </w:hyperlink>
      <w:r w:rsidRPr="000E53C1">
        <w:rPr>
          <w:rFonts w:eastAsia="Times New Roman" w:cs="Times New Roman"/>
          <w:szCs w:val="24"/>
          <w:lang w:eastAsia="es-CO"/>
        </w:rPr>
        <w:t> del E.T., se hace referencia a esta operación con relación a bienes inmuebles:</w:t>
      </w:r>
    </w:p>
    <w:p w:rsidR="000E53C1" w:rsidRPr="000E53C1" w:rsidRDefault="000E53C1" w:rsidP="000E53C1">
      <w:pPr>
        <w:shd w:val="clear" w:color="auto" w:fill="FFFFFF"/>
        <w:spacing w:line="240" w:lineRule="auto"/>
        <w:ind w:left="180"/>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ind w:left="180"/>
        <w:rPr>
          <w:rFonts w:eastAsia="Times New Roman" w:cs="Times New Roman"/>
          <w:szCs w:val="24"/>
          <w:lang w:eastAsia="es-CO"/>
        </w:rPr>
      </w:pPr>
      <w:r w:rsidRPr="000E53C1">
        <w:rPr>
          <w:rFonts w:eastAsia="Times New Roman" w:cs="Times New Roman"/>
          <w:i/>
          <w:iCs/>
          <w:szCs w:val="24"/>
          <w:lang w:eastAsia="es-CO"/>
        </w:rPr>
        <w:t>“(…) Son activos fijos o inmovilizados los bienes corporales muebles o </w:t>
      </w:r>
      <w:r w:rsidRPr="000E53C1">
        <w:rPr>
          <w:rFonts w:eastAsia="Times New Roman" w:cs="Times New Roman"/>
          <w:b/>
          <w:bCs/>
          <w:i/>
          <w:iCs/>
          <w:szCs w:val="24"/>
          <w:lang w:eastAsia="es-CO"/>
        </w:rPr>
        <w:t>inmuebles</w:t>
      </w:r>
      <w:r w:rsidRPr="000E53C1">
        <w:rPr>
          <w:rFonts w:eastAsia="Times New Roman" w:cs="Times New Roman"/>
          <w:i/>
          <w:iCs/>
          <w:szCs w:val="24"/>
          <w:lang w:eastAsia="es-CO"/>
        </w:rPr>
        <w:t> y los incorporales que no se enajenan dentro del giro ordinario de los negocios del contribuyente.”</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i/>
          <w:iCs/>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1.6. Así mismo, esta norma señala que los activos movibles son:</w:t>
      </w:r>
    </w:p>
    <w:p w:rsidR="000E53C1" w:rsidRPr="000E53C1" w:rsidRDefault="000E53C1" w:rsidP="000E53C1">
      <w:pPr>
        <w:shd w:val="clear" w:color="auto" w:fill="FFFFFF"/>
        <w:spacing w:line="240" w:lineRule="auto"/>
        <w:ind w:left="180"/>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ind w:left="180"/>
        <w:rPr>
          <w:rFonts w:eastAsia="Times New Roman" w:cs="Times New Roman"/>
          <w:szCs w:val="24"/>
          <w:lang w:eastAsia="es-CO"/>
        </w:rPr>
      </w:pPr>
      <w:r w:rsidRPr="000E53C1">
        <w:rPr>
          <w:rFonts w:eastAsia="Times New Roman" w:cs="Times New Roman"/>
          <w:szCs w:val="24"/>
          <w:lang w:eastAsia="es-CO"/>
        </w:rPr>
        <w:t>“(…) </w:t>
      </w:r>
      <w:r w:rsidRPr="000E53C1">
        <w:rPr>
          <w:rFonts w:eastAsia="Times New Roman" w:cs="Times New Roman"/>
          <w:i/>
          <w:iCs/>
          <w:szCs w:val="24"/>
          <w:lang w:eastAsia="es-CO"/>
        </w:rPr>
        <w:t>los bienes corporales muebles o inmuebles y los incorporales que se enajenan dentro del giro ordinario de los negocios del contribuyente e implican ordinariamente existencias al principio y al fin de cada año o período gravable."</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i/>
          <w:iCs/>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1.7. Además, el parágrafo del artículo indica que, para efectos de la normativa aplicable a los contribuyentes obligados a llevar contabilidad, se entenderán como activos fijos todos aquellos activos diferentes a los inventarios, ya que estos últimos se clasifican como activos movibles.</w:t>
      </w:r>
    </w:p>
    <w:p w:rsidR="000E53C1" w:rsidRPr="000E53C1" w:rsidRDefault="000E53C1" w:rsidP="000E53C1">
      <w:pPr>
        <w:shd w:val="clear" w:color="auto" w:fill="FFFFFF"/>
        <w:spacing w:line="240" w:lineRule="auto"/>
        <w:rPr>
          <w:rFonts w:eastAsia="Times New Roman" w:cs="Times New Roman"/>
          <w:szCs w:val="24"/>
          <w:lang w:eastAsia="es-CO"/>
        </w:rPr>
      </w:pPr>
    </w:p>
    <w:p w:rsidR="000E53C1" w:rsidRPr="000E53C1" w:rsidRDefault="000E53C1" w:rsidP="000E53C1">
      <w:pPr>
        <w:shd w:val="clear" w:color="auto" w:fill="FFFFFF"/>
        <w:spacing w:line="240" w:lineRule="auto"/>
        <w:rPr>
          <w:rFonts w:eastAsia="Times New Roman" w:cs="Times New Roman"/>
          <w:b/>
          <w:szCs w:val="24"/>
          <w:lang w:eastAsia="es-CO"/>
        </w:rPr>
      </w:pPr>
      <w:r w:rsidRPr="000E53C1">
        <w:rPr>
          <w:rFonts w:eastAsia="Times New Roman" w:cs="Times New Roman"/>
          <w:b/>
          <w:szCs w:val="24"/>
          <w:lang w:eastAsia="es-CO"/>
        </w:rPr>
        <w:t xml:space="preserve">1.8. En este sentido, la tarifa retención en la fuente del </w:t>
      </w:r>
      <w:proofErr w:type="gramStart"/>
      <w:r w:rsidRPr="000E53C1">
        <w:rPr>
          <w:rFonts w:eastAsia="Times New Roman" w:cs="Times New Roman"/>
          <w:b/>
          <w:szCs w:val="24"/>
          <w:lang w:eastAsia="es-CO"/>
        </w:rPr>
        <w:t>dos punto</w:t>
      </w:r>
      <w:proofErr w:type="gramEnd"/>
      <w:r w:rsidRPr="000E53C1">
        <w:rPr>
          <w:rFonts w:eastAsia="Times New Roman" w:cs="Times New Roman"/>
          <w:b/>
          <w:szCs w:val="24"/>
          <w:lang w:eastAsia="es-CO"/>
        </w:rPr>
        <w:t xml:space="preserve"> cinco por ciento (2,5%) que dispone el artículo 1.2.4.9.1 del Decreto 1625 de 2016, es la aplicable en la venta de activos fijos o movibles que correspondan a bienes inmuebles.</w:t>
      </w:r>
    </w:p>
    <w:p w:rsidR="000E53C1" w:rsidRPr="000E53C1" w:rsidRDefault="000E53C1" w:rsidP="000E53C1">
      <w:pPr>
        <w:shd w:val="clear" w:color="auto" w:fill="FFFFFF"/>
        <w:spacing w:line="240" w:lineRule="auto"/>
        <w:rPr>
          <w:rFonts w:eastAsia="Times New Roman" w:cs="Times New Roman"/>
          <w:szCs w:val="24"/>
          <w:lang w:eastAsia="es-CO"/>
        </w:rPr>
      </w:pP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Atentamente,</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 </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b/>
          <w:bCs/>
          <w:szCs w:val="24"/>
          <w:lang w:eastAsia="es-CO"/>
        </w:rPr>
        <w:t>LORENZO CASTILLO BARVO</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Subdirector de Gestión Normativa y Doctrina (E)</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Dirección de Gestión Jurídica</w:t>
      </w:r>
    </w:p>
    <w:p w:rsidR="000E53C1" w:rsidRPr="000E53C1" w:rsidRDefault="000E53C1" w:rsidP="000E53C1">
      <w:pPr>
        <w:shd w:val="clear" w:color="auto" w:fill="FFFFFF"/>
        <w:spacing w:line="240" w:lineRule="auto"/>
        <w:rPr>
          <w:rFonts w:eastAsia="Times New Roman" w:cs="Times New Roman"/>
          <w:szCs w:val="24"/>
          <w:lang w:eastAsia="es-CO"/>
        </w:rPr>
      </w:pPr>
      <w:r w:rsidRPr="000E53C1">
        <w:rPr>
          <w:rFonts w:eastAsia="Times New Roman" w:cs="Times New Roman"/>
          <w:szCs w:val="24"/>
          <w:lang w:eastAsia="es-CO"/>
        </w:rPr>
        <w:t>UAE – Dirección de Impuestos y Aduanas Nacionales</w:t>
      </w:r>
    </w:p>
    <w:p w:rsidR="000E53C1" w:rsidRPr="000E53C1" w:rsidRDefault="000E53C1" w:rsidP="000E53C1">
      <w:pPr>
        <w:spacing w:after="285" w:line="240" w:lineRule="auto"/>
        <w:rPr>
          <w:rFonts w:eastAsia="Times New Roman" w:cs="Times New Roman"/>
          <w:szCs w:val="24"/>
          <w:lang w:eastAsia="es-CO"/>
        </w:rPr>
      </w:pPr>
      <w:r w:rsidRPr="000E53C1">
        <w:rPr>
          <w:rFonts w:eastAsia="Times New Roman" w:cs="Times New Roman"/>
          <w:szCs w:val="24"/>
          <w:lang w:eastAsia="es-CO"/>
        </w:rPr>
        <w:lastRenderedPageBreak/>
        <w:t> </w:t>
      </w:r>
    </w:p>
    <w:p w:rsidR="00730617" w:rsidRPr="000E53C1" w:rsidRDefault="00730617">
      <w:pPr>
        <w:rPr>
          <w:rFonts w:cs="Times New Roman"/>
          <w:szCs w:val="24"/>
        </w:rPr>
      </w:pPr>
    </w:p>
    <w:sectPr w:rsidR="00730617" w:rsidRPr="000E53C1"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C1"/>
    <w:rsid w:val="000E53C1"/>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AD8C"/>
  <w15:chartTrackingRefBased/>
  <w15:docId w15:val="{9CBF12C4-DE62-429F-B221-DEEEA967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9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9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1" TargetMode="External"/><Relationship Id="rId11" Type="http://schemas.openxmlformats.org/officeDocument/2006/relationships/fontTable" Target="fontTable.xml"/><Relationship Id="rId5" Type="http://schemas.openxmlformats.org/officeDocument/2006/relationships/hyperlink" Target="https://www.ceta.org.co/html/vista_de_un_articulo.asp?Norma=493" TargetMode="External"/><Relationship Id="rId10" Type="http://schemas.openxmlformats.org/officeDocument/2006/relationships/hyperlink" Target="https://www.ceta.org.co/html/vista_de_un_articulo.asp?Norma=101" TargetMode="External"/><Relationship Id="rId4" Type="http://schemas.openxmlformats.org/officeDocument/2006/relationships/hyperlink" Target="https://www.ceta.org.co/html/vista_de_un_articulo.asp?Norma=496" TargetMode="External"/><Relationship Id="rId9" Type="http://schemas.openxmlformats.org/officeDocument/2006/relationships/hyperlink" Target="https://www.ceta.org.co/html/vista_de_un_articulo.asp?Norma=4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967</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2019-08-30T20:51:00Z</dcterms:created>
  <dcterms:modified xsi:type="dcterms:W3CDTF">2019-08-30T20:56:00Z</dcterms:modified>
</cp:coreProperties>
</file>