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BC4" w:rsidRPr="001A0BC4" w:rsidRDefault="001A0BC4" w:rsidP="001A0BC4">
      <w:pPr>
        <w:spacing w:after="0" w:line="240" w:lineRule="auto"/>
        <w:jc w:val="center"/>
        <w:rPr>
          <w:rFonts w:eastAsia="Times New Roman" w:cs="Times New Roman"/>
          <w:szCs w:val="24"/>
          <w:lang w:eastAsia="es-CO"/>
        </w:rPr>
      </w:pPr>
      <w:r w:rsidRPr="001A0BC4">
        <w:rPr>
          <w:rFonts w:eastAsia="Times New Roman" w:cs="Times New Roman"/>
          <w:b/>
          <w:bCs/>
          <w:szCs w:val="24"/>
          <w:lang w:eastAsia="es-CO"/>
        </w:rPr>
        <w:t>OFICIO No 034321</w:t>
      </w:r>
    </w:p>
    <w:p w:rsidR="001A0BC4" w:rsidRPr="001A0BC4" w:rsidRDefault="001A0BC4" w:rsidP="001A0BC4">
      <w:pPr>
        <w:spacing w:after="0" w:line="240" w:lineRule="auto"/>
        <w:jc w:val="center"/>
        <w:rPr>
          <w:rFonts w:eastAsia="Times New Roman" w:cs="Times New Roman"/>
          <w:szCs w:val="24"/>
          <w:lang w:eastAsia="es-CO"/>
        </w:rPr>
      </w:pPr>
      <w:r w:rsidRPr="001A0BC4">
        <w:rPr>
          <w:rFonts w:eastAsia="Times New Roman" w:cs="Times New Roman"/>
          <w:b/>
          <w:bCs/>
          <w:szCs w:val="24"/>
          <w:lang w:eastAsia="es-CO"/>
        </w:rPr>
        <w:t>09-06-2014</w:t>
      </w:r>
    </w:p>
    <w:p w:rsidR="001A0BC4" w:rsidRPr="001A0BC4" w:rsidRDefault="001A0BC4" w:rsidP="001A0BC4">
      <w:pPr>
        <w:spacing w:after="0" w:line="240" w:lineRule="auto"/>
        <w:jc w:val="center"/>
        <w:rPr>
          <w:rFonts w:eastAsia="Times New Roman" w:cs="Times New Roman"/>
          <w:szCs w:val="24"/>
          <w:lang w:eastAsia="es-CO"/>
        </w:rPr>
      </w:pPr>
      <w:r w:rsidRPr="001A0BC4">
        <w:rPr>
          <w:rFonts w:eastAsia="Times New Roman" w:cs="Times New Roman"/>
          <w:b/>
          <w:bCs/>
          <w:szCs w:val="24"/>
          <w:lang w:eastAsia="es-CO"/>
        </w:rPr>
        <w:t>DIAN</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b/>
          <w:b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b/>
          <w:b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Dirección de Gestión Jurídica</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Bogotá, D.C.</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100202208-655</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Señor</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b/>
          <w:bCs/>
          <w:szCs w:val="24"/>
          <w:lang w:eastAsia="es-CO"/>
        </w:rPr>
        <w:t>ANDRÉS ALBERTO PACHÓN LUNA</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Calle 72 No. 8-24 Piso 10</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Bogotá, D.C.</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proofErr w:type="spellStart"/>
      <w:r w:rsidRPr="001A0BC4">
        <w:rPr>
          <w:rFonts w:eastAsia="Times New Roman" w:cs="Times New Roman"/>
          <w:b/>
          <w:bCs/>
          <w:szCs w:val="24"/>
          <w:lang w:eastAsia="es-CO"/>
        </w:rPr>
        <w:t>Ref</w:t>
      </w:r>
      <w:proofErr w:type="spellEnd"/>
      <w:r w:rsidRPr="001A0BC4">
        <w:rPr>
          <w:rFonts w:eastAsia="Times New Roman" w:cs="Times New Roman"/>
          <w:b/>
          <w:bCs/>
          <w:szCs w:val="24"/>
          <w:lang w:eastAsia="es-CO"/>
        </w:rPr>
        <w:t>:</w:t>
      </w:r>
      <w:r w:rsidRPr="001A0BC4">
        <w:rPr>
          <w:rFonts w:eastAsia="Times New Roman" w:cs="Times New Roman"/>
          <w:szCs w:val="24"/>
          <w:lang w:eastAsia="es-CO"/>
        </w:rPr>
        <w:t> Radicado 100009836 del 04/10/2013</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b/>
          <w:bCs/>
          <w:szCs w:val="24"/>
          <w:lang w:eastAsia="es-CO"/>
        </w:rPr>
        <w:t>Tema</w:t>
      </w:r>
      <w:r w:rsidRPr="001A0BC4">
        <w:rPr>
          <w:rFonts w:eastAsia="Times New Roman" w:cs="Times New Roman"/>
          <w:szCs w:val="24"/>
          <w:lang w:eastAsia="es-CO"/>
        </w:rPr>
        <w:t> Impuesto sobre la renta</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b/>
          <w:bCs/>
          <w:szCs w:val="24"/>
          <w:lang w:eastAsia="es-CO"/>
        </w:rPr>
        <w:t>Descriptores</w:t>
      </w:r>
      <w:r w:rsidRPr="001A0BC4">
        <w:rPr>
          <w:rFonts w:eastAsia="Times New Roman" w:cs="Times New Roman"/>
          <w:szCs w:val="24"/>
          <w:lang w:eastAsia="es-CO"/>
        </w:rPr>
        <w:t> Contribuciones al Sistema de Seguridad Social Integral</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Deducciones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Verificación de afiliación y aportes Sistema de Seguridad Social Integral</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b/>
          <w:bCs/>
          <w:szCs w:val="24"/>
          <w:lang w:eastAsia="es-CO"/>
        </w:rPr>
        <w:t>Fuentes Formales</w:t>
      </w:r>
      <w:r w:rsidRPr="001A0BC4">
        <w:rPr>
          <w:rFonts w:eastAsia="Times New Roman" w:cs="Times New Roman"/>
          <w:szCs w:val="24"/>
          <w:lang w:eastAsia="es-CO"/>
        </w:rPr>
        <w:t> Estatuto Tributario, </w:t>
      </w:r>
      <w:hyperlink r:id="rId4" w:tooltip="Estatuto Tributario CETA" w:history="1">
        <w:r w:rsidRPr="001A0BC4">
          <w:rPr>
            <w:rFonts w:eastAsia="Times New Roman" w:cs="Times New Roman"/>
            <w:szCs w:val="24"/>
            <w:lang w:eastAsia="es-CO"/>
          </w:rPr>
          <w:t>art. 108</w:t>
        </w:r>
      </w:hyperlink>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Ley 100 de 1993, arts. 8°, 15, 157</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Decreto Ley 1295 de 1994, art. 13</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Ley 797 de 2003, art. 3°</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Ley 1393 de 2010, arts. 26 y 27</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Ley 1562 de 2012, art. 2°</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Decreto Reglamentario 1406 de 1999, art. 16</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Decreto Reglamentario 1703 de 2002, art. 23</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Decreto Reglamentario 510 de 2003 art. 1°</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Decreto Reglamentario 1070 de 2013, art. 3°</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Decreto Reglamentario 3032 de 2013, arts. 1° y 9°</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Cordial saludo, señor Pachón:</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De conformidad con el artículo 19 del Decreto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Solicita la reconsideración del Oficio No. 060032 del 23 de septiembre de 2013, en el cual se concluyó que para la procedencia de la deducción por pagos realizados a una persona natural que presta servicios de transporte de carga, el contratante deberá verificar la afiliación y el pago de las cotizaciones y aportes al Sistema General de Seguridad Social que le correspondan al contratista según la ley.</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xml:space="preserve">A juicio del peticionario, el contratante no está en la obligación de verificar la afiliación y pago de las cotizaciones a la seguridad social, para efectos de la deducibilidad de los pagos, dado que el transportador de carga no se considera trabajador independiente y tampoco se trata de la prestación de un servicio personal. Al respecto manifiesta, que el artículo 3° del Decreto 1070 de 2013 no aplica en aquellos casos en los que no exista un servicio personal por parte de la persona natural, como en el caso de los arrendamientos, suministros de bienes, transporte de carga, ni en los casos en los cuales el pago no se entienda realizado a un </w:t>
      </w:r>
      <w:r w:rsidRPr="001A0BC4">
        <w:rPr>
          <w:rFonts w:eastAsia="Times New Roman" w:cs="Times New Roman"/>
          <w:szCs w:val="24"/>
          <w:lang w:eastAsia="es-CO"/>
        </w:rPr>
        <w:lastRenderedPageBreak/>
        <w:t>trabajador independiente, según lo previsto en los artículos </w:t>
      </w:r>
      <w:hyperlink r:id="rId5" w:tooltip="Estatuto Tributario CETA" w:history="1">
        <w:r w:rsidRPr="001A0BC4">
          <w:rPr>
            <w:rFonts w:eastAsia="Times New Roman" w:cs="Times New Roman"/>
            <w:szCs w:val="24"/>
            <w:lang w:eastAsia="es-CO"/>
          </w:rPr>
          <w:t>108</w:t>
        </w:r>
      </w:hyperlink>
      <w:r w:rsidRPr="001A0BC4">
        <w:rPr>
          <w:rFonts w:eastAsia="Times New Roman" w:cs="Times New Roman"/>
          <w:szCs w:val="24"/>
          <w:lang w:eastAsia="es-CO"/>
        </w:rPr>
        <w:t> y</w:t>
      </w:r>
      <w:hyperlink r:id="rId6" w:tooltip="Estatuto Tributario CETA" w:history="1">
        <w:r w:rsidRPr="001A0BC4">
          <w:rPr>
            <w:rFonts w:eastAsia="Times New Roman" w:cs="Times New Roman"/>
            <w:szCs w:val="24"/>
            <w:lang w:eastAsia="es-CO"/>
          </w:rPr>
          <w:t>594-1</w:t>
        </w:r>
      </w:hyperlink>
      <w:r w:rsidRPr="001A0BC4">
        <w:rPr>
          <w:rFonts w:eastAsia="Times New Roman" w:cs="Times New Roman"/>
          <w:szCs w:val="24"/>
          <w:lang w:eastAsia="es-CO"/>
        </w:rPr>
        <w:t> del Estatuto Tributario.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En este sentido, considera que los servicios de transporte que presta una persona natural no pueden caracterizarse como un servicio personal y un transportador no puede ser considerado como trabajador independiente, porque por una parte, de acuerdo con el Oficio No. 067669 de 2012, la DIAN entiende que los servicios de transporte son una categoría particular de ingresos tributarios, sometidos a una retención en la fuente especial, que tiene prevalencia sobre otras tarifas de retención en la fuente y por otra, según el Oficio No. 050629 de 2012, para la Administración Tributaria el concepto de trabajador independiente no abarca a todas las personas que obtienen ingresos por conceptos diferentes a una relación laboral, puesto que en el caso de los arrendamientos no existe una prestación personal de un servicio y entiende que ocurre lo mismo en el caso de los transportadores, ya que en el caso del transporte se utiliza un bien mueble (vehículos) para la obtención de los ingresos, cuyo involucramiento hace que no se verifique una prestación personal de un servicio en forma directa por la persona natural, dado que el servicio se presta a través del vehículo respectivo.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Por otro lado, trae a colación varias definiciones legales y jurisprudenciales del contrato de prestación de servicios, concluyendo que existen diversos contratos, entre ellos el de suministro y el de transporte, que aunque pueden llevar implícitas obligaciones de hacer, por tener dichas obligaciones (Sic) carácter comercial, no califican para ser denominados contratos de prestación de servicios, para efectos de lo dispuesto en la Ley 1393 de 2010 y el Decreto 1070 de 2013.</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Reitera, que la doctrina citada anteriormente, diferencia un trabajador independiente, de un rentista de capital o de un prestador de servicios comerciales y para que un sujeto pueda caer en la esfera de los trabajadores independientes se requiere que haya una renta de trabajo, sin un vínculo laboral y que la actuación sea desarrollada por cuenta propia; configurándose la condición de trabajador independiente sobre aquel que por su actividad personal recibe compensación por honorarios, comisiones o servicios, en los términos del </w:t>
      </w:r>
      <w:hyperlink r:id="rId7" w:tooltip="Estatuto Tributario CETA" w:history="1">
        <w:r w:rsidRPr="001A0BC4">
          <w:rPr>
            <w:rFonts w:eastAsia="Times New Roman" w:cs="Times New Roman"/>
            <w:szCs w:val="24"/>
            <w:lang w:eastAsia="es-CO"/>
          </w:rPr>
          <w:t>artículo 103</w:t>
        </w:r>
      </w:hyperlink>
      <w:r w:rsidRPr="001A0BC4">
        <w:rPr>
          <w:rFonts w:eastAsia="Times New Roman" w:cs="Times New Roman"/>
          <w:szCs w:val="24"/>
          <w:lang w:eastAsia="es-CO"/>
        </w:rPr>
        <w:t> del Estatuto Tributario.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Todo lo anterior para concluir que cuando el </w:t>
      </w:r>
      <w:hyperlink r:id="rId8" w:tooltip="Estatuto Tributario CETA" w:history="1">
        <w:r w:rsidRPr="001A0BC4">
          <w:rPr>
            <w:rFonts w:eastAsia="Times New Roman" w:cs="Times New Roman"/>
            <w:szCs w:val="24"/>
            <w:lang w:eastAsia="es-CO"/>
          </w:rPr>
          <w:t>artículo 108</w:t>
        </w:r>
      </w:hyperlink>
      <w:r w:rsidRPr="001A0BC4">
        <w:rPr>
          <w:rFonts w:eastAsia="Times New Roman" w:cs="Times New Roman"/>
          <w:szCs w:val="24"/>
          <w:lang w:eastAsia="es-CO"/>
        </w:rPr>
        <w:t> del Estatuto Tributario se refiere a los trabajadores independientes, lo hace en la dimensión de aquellas personas naturales que sin un vínculo de subordinación, desarrollan una actividad personal que les resulta remunerada con honorarios, comisiones o servicios. Por tanto, no es trabajador independiente, quien presta servicios no personales, tales como el transporte de carga o de pasajeros (renta comercial), el arrendamiento de bienes (renta de capital), los rendimientos financieros por préstamos (renta de capital) o el suministro de bienes (renta comercial o civil).</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Al respecto, este Despacho hace las siguientes consideraciones: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Básicamente los argumentos del peticionario, apuntan a que en el servicio de transporte de carga, no aplica lo previsto en el artículo 26 de la Ley 1393 de 2010, en el </w:t>
      </w:r>
      <w:hyperlink r:id="rId9" w:tooltip="Estatuto Tributario CETA" w:history="1">
        <w:r w:rsidRPr="001A0BC4">
          <w:rPr>
            <w:rFonts w:eastAsia="Times New Roman" w:cs="Times New Roman"/>
            <w:szCs w:val="24"/>
            <w:lang w:eastAsia="es-CO"/>
          </w:rPr>
          <w:t>artículo 108</w:t>
        </w:r>
      </w:hyperlink>
      <w:r w:rsidR="00360E1D">
        <w:rPr>
          <w:rFonts w:eastAsia="Times New Roman" w:cs="Times New Roman"/>
          <w:szCs w:val="24"/>
          <w:lang w:eastAsia="es-CO"/>
        </w:rPr>
        <w:t xml:space="preserve"> </w:t>
      </w:r>
      <w:r w:rsidRPr="001A0BC4">
        <w:rPr>
          <w:rFonts w:eastAsia="Times New Roman" w:cs="Times New Roman"/>
          <w:szCs w:val="24"/>
          <w:lang w:eastAsia="es-CO"/>
        </w:rPr>
        <w:t xml:space="preserve">del Estatuto Tributario y en el Decreto 1070 de 2013, porque de acuerdo con la doctrina de la DIAN vigente, el transportador no encuadra en la definición de trabajador independiente, por las siguientes razones: </w:t>
      </w:r>
      <w:r w:rsidRPr="00360E1D">
        <w:rPr>
          <w:rFonts w:eastAsia="Times New Roman" w:cs="Times New Roman"/>
          <w:szCs w:val="24"/>
          <w:highlight w:val="green"/>
          <w:lang w:eastAsia="es-CO"/>
        </w:rPr>
        <w:t>la persona natural no presta el servicio de manera personal y directa sino mediante la utilización de un vehículo, la remuneración no corresponde a una renta de trabajo por concepto de honorarios, comisiones o servicios, sino a una renta comercial y la retención en la fuente a título de impuesto sobre la renta no se practica por concepto de servicios sino de otros ingresos tributarios.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xml:space="preserve">En primer lugar se advierte que si bien la doctrina citada fue emitida en el contexto del artículo 13 de la Ley 1527 de 2012, (hoy derogado por el artículo 198 de la Ley 1607 de 2012), cuyo propósito era morigerar la retención en la fuente a título de impuesto de renta </w:t>
      </w:r>
      <w:r w:rsidRPr="001A0BC4">
        <w:rPr>
          <w:rFonts w:eastAsia="Times New Roman" w:cs="Times New Roman"/>
          <w:szCs w:val="24"/>
          <w:lang w:eastAsia="es-CO"/>
        </w:rPr>
        <w:lastRenderedPageBreak/>
        <w:t>sobre los pagos o abonos en cuenta por concepto de prestación de servicios, realizados a los trabajadores independientes pertenecientes al régimen simplificado, o que cumplieran los topes y condiciones de este régimen, cuando no fueran responsables del impuesto sobre las ventas; recobra vigencia con ocasión de la expedición del Decreto 3032 del 27 de diciembre de 2013 que modificó el Decreto 1070 de 2013 y aporta elementos de juicio para efectos de la consulta que nos ocupa, mas no con el alcance que pretende darle el peticionario.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En efecto, en el Oficio No. 050629 del 10 de agosto de 2012 se manifiesta que para efectos fiscales el legislador no se ha ocupado de definir expresamente que se entiende por trabajador independiente, y de acuerdo con el compendio de la doctrina vigente, se considera como tal a la persona natural que sin tener un vínculo laboral con un empleador o una relación legal o reglamentaria, presta un servicio personal y recibe como contraprestación una remuneración que bien puede corresponder al concepto de honorarios, comisiones o servicios o cualquier otra compensación dependiendo de la naturaleza y calificación del servicio, en los términos del </w:t>
      </w:r>
      <w:hyperlink r:id="rId10" w:tooltip="Estatuto Tributario CETA" w:history="1">
        <w:r w:rsidRPr="001A0BC4">
          <w:rPr>
            <w:rFonts w:eastAsia="Times New Roman" w:cs="Times New Roman"/>
            <w:szCs w:val="24"/>
            <w:lang w:eastAsia="es-CO"/>
          </w:rPr>
          <w:t>artículo 103</w:t>
        </w:r>
      </w:hyperlink>
      <w:r w:rsidRPr="001A0BC4">
        <w:rPr>
          <w:rFonts w:eastAsia="Times New Roman" w:cs="Times New Roman"/>
          <w:szCs w:val="24"/>
          <w:lang w:eastAsia="es-CO"/>
        </w:rPr>
        <w:t> del Estatuto Tributario.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Así mismo, el mencionado oficio, concluye que en términos generales la prestación de servicios, se concreta en una obligación de hacer por una persona natural sin que medie una relación laboral con quien la contrata y por lo tanto comprende los servicios calificados y los no calificados. (Concepto No. 015454 del 10 de marzo de 1998).</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Por otra parte, es necesario aclarar, que en el Oficio No. 067669 del 29 de octubre de 2012, lo que concluye la Oficina Jurídica con base en el Concepto Especial de Retención en la Fuente a título de Impuesto sobre la Renta No. 023562 del 23 de marzo de 2001, es que al servicio de transporte terrestre de carga, se le debe practicar retención en la fuente a título de impuesto sobre la renta por concepto de servicios y no por concepto de otros ingresos tributarios, como lo entiende el consultante.</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360E1D" w:rsidRDefault="001A0BC4" w:rsidP="001A0BC4">
      <w:pPr>
        <w:spacing w:after="0" w:line="240" w:lineRule="auto"/>
        <w:jc w:val="both"/>
        <w:rPr>
          <w:rFonts w:eastAsia="Times New Roman" w:cs="Times New Roman"/>
          <w:szCs w:val="24"/>
          <w:highlight w:val="green"/>
          <w:lang w:eastAsia="es-CO"/>
        </w:rPr>
      </w:pPr>
      <w:r w:rsidRPr="00360E1D">
        <w:rPr>
          <w:rFonts w:eastAsia="Times New Roman" w:cs="Times New Roman"/>
          <w:szCs w:val="24"/>
          <w:highlight w:val="green"/>
          <w:lang w:eastAsia="es-CO"/>
        </w:rPr>
        <w:t>Consecuente con lo arriba mencionado, el artículo 1° del Decreto Reglamentario 3032 de 2013, trae la siguiente definición de servicio personal, para efectos de la clasificación en la categoría tributaria de empleado:</w:t>
      </w:r>
    </w:p>
    <w:p w:rsidR="001A0BC4" w:rsidRPr="00360E1D" w:rsidRDefault="001A0BC4" w:rsidP="001A0BC4">
      <w:pPr>
        <w:spacing w:after="0" w:line="240" w:lineRule="auto"/>
        <w:jc w:val="both"/>
        <w:rPr>
          <w:rFonts w:eastAsia="Times New Roman" w:cs="Times New Roman"/>
          <w:szCs w:val="24"/>
          <w:highlight w:val="green"/>
          <w:lang w:eastAsia="es-CO"/>
        </w:rPr>
      </w:pPr>
      <w:r w:rsidRPr="00360E1D">
        <w:rPr>
          <w:rFonts w:eastAsia="Times New Roman" w:cs="Times New Roman"/>
          <w:szCs w:val="24"/>
          <w:highlight w:val="green"/>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360E1D">
        <w:rPr>
          <w:rFonts w:eastAsia="Times New Roman" w:cs="Times New Roman"/>
          <w:b/>
          <w:bCs/>
          <w:i/>
          <w:iCs/>
          <w:szCs w:val="24"/>
          <w:highlight w:val="green"/>
          <w:lang w:eastAsia="es-CO"/>
        </w:rPr>
        <w:t>"Servicio personal</w:t>
      </w:r>
      <w:r w:rsidRPr="00360E1D">
        <w:rPr>
          <w:rFonts w:eastAsia="Times New Roman" w:cs="Times New Roman"/>
          <w:i/>
          <w:iCs/>
          <w:szCs w:val="24"/>
          <w:highlight w:val="green"/>
          <w:lang w:eastAsia="es-CO"/>
        </w:rPr>
        <w:t>: Se considera servicio personal toda actividad, labor o trabajo prestado directamente por una persona natural, que se concreta en una obligación de hacer, sin importar que en la misma predomine el factor material o intelectual, y que genera una contraprestación en dinero o en especie, independientemente de su denominación o forma de remuneración."</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360E1D" w:rsidRDefault="001A0BC4" w:rsidP="001A0BC4">
      <w:pPr>
        <w:spacing w:after="0" w:line="240" w:lineRule="auto"/>
        <w:jc w:val="both"/>
        <w:rPr>
          <w:rFonts w:eastAsia="Times New Roman" w:cs="Times New Roman"/>
          <w:szCs w:val="24"/>
          <w:highlight w:val="green"/>
          <w:lang w:eastAsia="es-CO"/>
        </w:rPr>
      </w:pPr>
      <w:r w:rsidRPr="00360E1D">
        <w:rPr>
          <w:rFonts w:eastAsia="Times New Roman" w:cs="Times New Roman"/>
          <w:szCs w:val="24"/>
          <w:highlight w:val="green"/>
          <w:lang w:eastAsia="es-CO"/>
        </w:rPr>
        <w:t>Sin perjuicio de lo anterior, el artículo 3° del Decreto Reglamentario 1070 de 2013, debe interpretarse principalmente en el contexto del Sistema General de Seguridad Social.</w:t>
      </w:r>
    </w:p>
    <w:p w:rsidR="001A0BC4" w:rsidRPr="00360E1D" w:rsidRDefault="001A0BC4" w:rsidP="001A0BC4">
      <w:pPr>
        <w:spacing w:after="0" w:line="240" w:lineRule="auto"/>
        <w:jc w:val="both"/>
        <w:rPr>
          <w:rFonts w:eastAsia="Times New Roman" w:cs="Times New Roman"/>
          <w:szCs w:val="24"/>
          <w:highlight w:val="green"/>
          <w:lang w:eastAsia="es-CO"/>
        </w:rPr>
      </w:pPr>
      <w:r w:rsidRPr="00360E1D">
        <w:rPr>
          <w:rFonts w:eastAsia="Times New Roman" w:cs="Times New Roman"/>
          <w:szCs w:val="24"/>
          <w:highlight w:val="green"/>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360E1D">
        <w:rPr>
          <w:rFonts w:eastAsia="Times New Roman" w:cs="Times New Roman"/>
          <w:szCs w:val="24"/>
          <w:highlight w:val="green"/>
          <w:lang w:eastAsia="es-CO"/>
        </w:rPr>
        <w:t>Al punto cabe recordar que el artículo 3° del Decreto 1070 de 2013, fue modificado por el artículo 9° del Decreto 3032 de 2013, circunscribiendo su aplicación a los contratos de prestación de servicios, en los siguientes términos: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"Artículo 3°. Contribuciones al Sistema General de Seguridad Social.</w:t>
      </w:r>
      <w:r w:rsidRPr="001A0BC4">
        <w:rPr>
          <w:rFonts w:eastAsia="Times New Roman" w:cs="Times New Roman"/>
          <w:i/>
          <w:iCs/>
          <w:szCs w:val="24"/>
          <w:lang w:eastAsia="es-CO"/>
        </w:rPr>
        <w:t> De acuerdo con lo previsto en el artículo 26 de la Ley 1393 de 2010 y el </w:t>
      </w:r>
      <w:hyperlink r:id="rId11" w:tooltip="Estatuto Tributario CETA" w:history="1">
        <w:r w:rsidRPr="001A0BC4">
          <w:rPr>
            <w:rFonts w:eastAsia="Times New Roman" w:cs="Times New Roman"/>
            <w:i/>
            <w:iCs/>
            <w:szCs w:val="24"/>
            <w:lang w:eastAsia="es-CO"/>
          </w:rPr>
          <w:t>artículo 108</w:t>
        </w:r>
      </w:hyperlink>
      <w:r w:rsidRPr="001A0BC4">
        <w:rPr>
          <w:rFonts w:eastAsia="Times New Roman" w:cs="Times New Roman"/>
          <w:i/>
          <w:iCs/>
          <w:szCs w:val="24"/>
          <w:lang w:eastAsia="es-CO"/>
        </w:rPr>
        <w:t> del Estatuto Tributario, la disminución de la base de retención para </w:t>
      </w:r>
      <w:r w:rsidRPr="001A0BC4">
        <w:rPr>
          <w:rFonts w:eastAsia="Times New Roman" w:cs="Times New Roman"/>
          <w:i/>
          <w:iCs/>
          <w:szCs w:val="24"/>
          <w:u w:val="single"/>
          <w:lang w:eastAsia="es-CO"/>
        </w:rPr>
        <w:t>las personas naturales residentes cuyos ingresos no provengan de una relación laboral, o legal y reglamentaria</w:t>
      </w:r>
      <w:r w:rsidRPr="001A0BC4">
        <w:rPr>
          <w:rFonts w:eastAsia="Times New Roman" w:cs="Times New Roman"/>
          <w:i/>
          <w:iCs/>
          <w:szCs w:val="24"/>
          <w:lang w:eastAsia="es-CO"/>
        </w:rPr>
        <w:t>, por concepto de contribuciones al Sistema General de Seguridad Social, </w:t>
      </w:r>
      <w:r w:rsidRPr="001A0BC4">
        <w:rPr>
          <w:rFonts w:eastAsia="Times New Roman" w:cs="Times New Roman"/>
          <w:i/>
          <w:iCs/>
          <w:szCs w:val="24"/>
          <w:u w:val="single"/>
          <w:lang w:eastAsia="es-CO"/>
        </w:rPr>
        <w:t>pertenezcan o no a la categoría de empleados</w:t>
      </w:r>
      <w:r w:rsidRPr="001A0BC4">
        <w:rPr>
          <w:rFonts w:eastAsia="Times New Roman" w:cs="Times New Roman"/>
          <w:i/>
          <w:iCs/>
          <w:szCs w:val="24"/>
          <w:lang w:eastAsia="es-CO"/>
        </w:rPr>
        <w:t>, estará condicionada a su liquidación y pago en lo relacionado con las sumas que son objeto del contrato, para lo cual se adjuntará a la respectiva factura o documento equivalente copia de la planilla o documento de pago.</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lastRenderedPageBreak/>
        <w:t>Para la procedencia de la deducción en el impuesto sobre la renta de </w:t>
      </w:r>
      <w:r w:rsidRPr="001A0BC4">
        <w:rPr>
          <w:rFonts w:eastAsia="Times New Roman" w:cs="Times New Roman"/>
          <w:i/>
          <w:iCs/>
          <w:szCs w:val="24"/>
          <w:u w:val="single"/>
          <w:lang w:eastAsia="es-CO"/>
        </w:rPr>
        <w:t>los pagos realizados a las personas mencionadas en el inciso anterior por concepto de contratos de prestación de servicios,</w:t>
      </w:r>
      <w:r w:rsidRPr="001A0BC4">
        <w:rPr>
          <w:rFonts w:eastAsia="Times New Roman" w:cs="Times New Roman"/>
          <w:i/>
          <w:iCs/>
          <w:szCs w:val="24"/>
          <w:lang w:eastAsia="es-CO"/>
        </w:rPr>
        <w:t> el contratante deberá verificar que los aportes al Sistema General de Seguridad Social estén realizados de acuerdo con los ingresos obtenidos en el contrato respectivo, en los términos del artículo 18 de la Ley 1122 de 2007, los </w:t>
      </w:r>
      <w:r w:rsidRPr="001A0BC4">
        <w:rPr>
          <w:rFonts w:eastAsia="Times New Roman" w:cs="Times New Roman"/>
          <w:i/>
          <w:iCs/>
          <w:szCs w:val="24"/>
          <w:u w:val="single"/>
          <w:lang w:eastAsia="es-CO"/>
        </w:rPr>
        <w:t>Decretos números 1703 de 2002 y 510 de 2003</w:t>
      </w:r>
      <w:r w:rsidRPr="001A0BC4">
        <w:rPr>
          <w:rFonts w:eastAsia="Times New Roman" w:cs="Times New Roman"/>
          <w:i/>
          <w:iCs/>
          <w:szCs w:val="24"/>
          <w:lang w:eastAsia="es-CO"/>
        </w:rPr>
        <w:t>, las demás normas vigentes sobre la materia, así como aquellas disposiciones que las adicionen, modifiquen o sustituyan.</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Parágrafo</w:t>
      </w:r>
      <w:r w:rsidRPr="001A0BC4">
        <w:rPr>
          <w:rFonts w:eastAsia="Times New Roman" w:cs="Times New Roman"/>
          <w:i/>
          <w:iCs/>
          <w:szCs w:val="24"/>
          <w:lang w:eastAsia="es-CO"/>
        </w:rPr>
        <w:t xml:space="preserve">. Esta obligación no será aplicable cuando la totalidad de los pagos mensuales sean inferiores a un salario mínimo legal mensual vigente (1 </w:t>
      </w:r>
      <w:proofErr w:type="spellStart"/>
      <w:r w:rsidRPr="001A0BC4">
        <w:rPr>
          <w:rFonts w:eastAsia="Times New Roman" w:cs="Times New Roman"/>
          <w:i/>
          <w:iCs/>
          <w:szCs w:val="24"/>
          <w:lang w:eastAsia="es-CO"/>
        </w:rPr>
        <w:t>smlmv</w:t>
      </w:r>
      <w:proofErr w:type="spellEnd"/>
      <w:r w:rsidRPr="001A0BC4">
        <w:rPr>
          <w:rFonts w:eastAsia="Times New Roman" w:cs="Times New Roman"/>
          <w:i/>
          <w:iCs/>
          <w:szCs w:val="24"/>
          <w:lang w:eastAsia="es-CO"/>
        </w:rPr>
        <w:t>)".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360E1D" w:rsidRDefault="001A0BC4" w:rsidP="001A0BC4">
      <w:pPr>
        <w:spacing w:after="0" w:line="240" w:lineRule="auto"/>
        <w:jc w:val="both"/>
        <w:rPr>
          <w:rFonts w:eastAsia="Times New Roman" w:cs="Times New Roman"/>
          <w:szCs w:val="24"/>
          <w:highlight w:val="green"/>
          <w:lang w:eastAsia="es-CO"/>
        </w:rPr>
      </w:pPr>
      <w:r w:rsidRPr="00360E1D">
        <w:rPr>
          <w:rFonts w:eastAsia="Times New Roman" w:cs="Times New Roman"/>
          <w:szCs w:val="24"/>
          <w:highlight w:val="green"/>
          <w:lang w:eastAsia="es-CO"/>
        </w:rPr>
        <w:t>A su turno, las normas reglamentadas de la Ley 1393 de 2010, establecen:</w:t>
      </w:r>
    </w:p>
    <w:p w:rsidR="001A0BC4" w:rsidRPr="00360E1D" w:rsidRDefault="001A0BC4" w:rsidP="001A0BC4">
      <w:pPr>
        <w:spacing w:after="0" w:line="240" w:lineRule="auto"/>
        <w:jc w:val="both"/>
        <w:rPr>
          <w:rFonts w:eastAsia="Times New Roman" w:cs="Times New Roman"/>
          <w:szCs w:val="24"/>
          <w:highlight w:val="green"/>
          <w:lang w:eastAsia="es-CO"/>
        </w:rPr>
      </w:pPr>
      <w:r w:rsidRPr="00360E1D">
        <w:rPr>
          <w:rFonts w:eastAsia="Times New Roman" w:cs="Times New Roman"/>
          <w:szCs w:val="24"/>
          <w:highlight w:val="green"/>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360E1D">
        <w:rPr>
          <w:rFonts w:eastAsia="Times New Roman" w:cs="Times New Roman"/>
          <w:b/>
          <w:bCs/>
          <w:i/>
          <w:iCs/>
          <w:szCs w:val="24"/>
          <w:highlight w:val="green"/>
          <w:lang w:eastAsia="es-CO"/>
        </w:rPr>
        <w:t>“Artículo 26</w:t>
      </w:r>
      <w:r w:rsidRPr="00360E1D">
        <w:rPr>
          <w:rFonts w:eastAsia="Times New Roman" w:cs="Times New Roman"/>
          <w:i/>
          <w:iCs/>
          <w:szCs w:val="24"/>
          <w:highlight w:val="green"/>
          <w:lang w:eastAsia="es-CO"/>
        </w:rPr>
        <w:t>. La celebración y cumplimiento de las obligaciones derivadas de </w:t>
      </w:r>
      <w:r w:rsidRPr="00360E1D">
        <w:rPr>
          <w:rFonts w:eastAsia="Times New Roman" w:cs="Times New Roman"/>
          <w:i/>
          <w:iCs/>
          <w:szCs w:val="24"/>
          <w:highlight w:val="green"/>
          <w:u w:val="single"/>
          <w:lang w:eastAsia="es-CO"/>
        </w:rPr>
        <w:t>contratos de prestación de servicios</w:t>
      </w:r>
      <w:r w:rsidRPr="00360E1D">
        <w:rPr>
          <w:rFonts w:eastAsia="Times New Roman" w:cs="Times New Roman"/>
          <w:i/>
          <w:iCs/>
          <w:szCs w:val="24"/>
          <w:highlight w:val="green"/>
          <w:lang w:eastAsia="es-CO"/>
        </w:rPr>
        <w:t> estará condicionada a la verificación por parte del contratante de la afiliación y pago de los aportes al sistema de protección social, conforme a la reglamentación que para tal efecto expida el Gobierno Nacional.</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El Gobierno Nacional podrá adoptar mecanismos de retención para el cumplimiento de estas obligaciones, así como de devolución de saldos a favor.</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Artículo 27</w:t>
      </w:r>
      <w:r w:rsidRPr="001A0BC4">
        <w:rPr>
          <w:rFonts w:eastAsia="Times New Roman" w:cs="Times New Roman"/>
          <w:i/>
          <w:iCs/>
          <w:szCs w:val="24"/>
          <w:lang w:eastAsia="es-CO"/>
        </w:rPr>
        <w:t>. Adiciónese el </w:t>
      </w:r>
      <w:hyperlink r:id="rId12" w:tooltip="Estatuto Tributario CETA" w:history="1">
        <w:r w:rsidRPr="001A0BC4">
          <w:rPr>
            <w:rFonts w:eastAsia="Times New Roman" w:cs="Times New Roman"/>
            <w:i/>
            <w:iCs/>
            <w:szCs w:val="24"/>
            <w:lang w:eastAsia="es-CO"/>
          </w:rPr>
          <w:t>artículo 108</w:t>
        </w:r>
      </w:hyperlink>
      <w:r w:rsidRPr="001A0BC4">
        <w:rPr>
          <w:rFonts w:eastAsia="Times New Roman" w:cs="Times New Roman"/>
          <w:i/>
          <w:iCs/>
          <w:szCs w:val="24"/>
          <w:lang w:eastAsia="es-CO"/>
        </w:rPr>
        <w:t> del Estatuto Tributario con el siguiente parágrafo:</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"Parágrafo 2°.</w:t>
      </w:r>
      <w:r w:rsidRPr="001A0BC4">
        <w:rPr>
          <w:rFonts w:eastAsia="Times New Roman" w:cs="Times New Roman"/>
          <w:i/>
          <w:iCs/>
          <w:szCs w:val="24"/>
          <w:lang w:eastAsia="es-CO"/>
        </w:rPr>
        <w:t> Para efectos de la deducción por salarios de que trata el presente artículo se entenderá que tales aportes parafiscales deben efectuarse de acuerdo con lo establecido en las normas vigentes. Igualmente, </w:t>
      </w:r>
      <w:r w:rsidRPr="001A0BC4">
        <w:rPr>
          <w:rFonts w:eastAsia="Times New Roman" w:cs="Times New Roman"/>
          <w:i/>
          <w:iCs/>
          <w:szCs w:val="24"/>
          <w:u w:val="single"/>
          <w:lang w:eastAsia="es-CO"/>
        </w:rPr>
        <w:t>para la procedencia de la deducción por pagos a trabajadores independientes</w:t>
      </w:r>
      <w:r w:rsidRPr="001A0BC4">
        <w:rPr>
          <w:rFonts w:eastAsia="Times New Roman" w:cs="Times New Roman"/>
          <w:i/>
          <w:iCs/>
          <w:szCs w:val="24"/>
          <w:lang w:eastAsia="es-CO"/>
        </w:rPr>
        <w:t>, el contratante deberá 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El aludido Sistema de Seguridad Social Integral, según las voces del artículo 8° de la Ley 100 de 1993, está conformado por los regímenes generales establecidos para pensiones, salud, riesgos profesionales (hoy laborales) y los servicios sociales complementarios que se definen en dicha ley.</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En consonancia con las disposiciones anteriores, el Decreto 1406 de 1999 por el cual se reglamenta la Ley 100 de 1993, dispone en su artículo 16 "Clases de aportantes", que para efectos de dicho decreto los aportantes del Sistema de Seguridad Social Integral serán de tres (3) clases: a) Grandes Aportantes, b) Pequeños Aportantes y c) Trabajadores Independientes.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Según la misma norma, se clasifica como trabajador independiente a aquel que no se encuentre vinculado laboralmente a un empleador, mediante contrato de trabajo o a través de una relación legal y reglamentaria.</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A su vez, el artículo 15 de la Ley 100 de 1993, modificado por el artículo 3° de la Ley 797 de 2003, señala que serán afiliados al Sistema General de Pensiones en forma obligatoria:</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"Todas aquellas personas vinculadas mediante contrato de trabajo o como servidores públicos.</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Así mismo, </w:t>
      </w:r>
      <w:r w:rsidRPr="001A0BC4">
        <w:rPr>
          <w:rFonts w:eastAsia="Times New Roman" w:cs="Times New Roman"/>
          <w:i/>
          <w:iCs/>
          <w:szCs w:val="24"/>
          <w:u w:val="single"/>
          <w:lang w:eastAsia="es-CO"/>
        </w:rPr>
        <w:t xml:space="preserve">las personas naturales que presten directamente servicios al Estado o a las entidades o empresas del sector privado, bajo la modalidad de contratos de prestación de servicios, o cualquier otra modalidad de servicios que adopten, los trabajadores </w:t>
      </w:r>
      <w:r w:rsidRPr="001A0BC4">
        <w:rPr>
          <w:rFonts w:eastAsia="Times New Roman" w:cs="Times New Roman"/>
          <w:i/>
          <w:iCs/>
          <w:szCs w:val="24"/>
          <w:u w:val="single"/>
          <w:lang w:eastAsia="es-CO"/>
        </w:rPr>
        <w:lastRenderedPageBreak/>
        <w:t>independientes</w:t>
      </w:r>
      <w:r w:rsidRPr="001A0BC4">
        <w:rPr>
          <w:rFonts w:eastAsia="Times New Roman" w:cs="Times New Roman"/>
          <w:i/>
          <w:iCs/>
          <w:szCs w:val="24"/>
          <w:lang w:eastAsia="es-CO"/>
        </w:rPr>
        <w:t> y los grupos de población que por sus características o condiciones socioeconómicas sean elegidos para ser beneficiarios de subsidios a través del Fondo de Solidaridad Pensional, de acuerdo con las disponibilidades presupuestales."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360E1D">
        <w:rPr>
          <w:rFonts w:eastAsia="Times New Roman" w:cs="Times New Roman"/>
          <w:szCs w:val="24"/>
          <w:highlight w:val="green"/>
          <w:lang w:eastAsia="es-CO"/>
        </w:rPr>
        <w:t>Concordante con lo anterior, el artículo 1° del Decreto Reglamentario 510 de 2003, al que remite expresamente el artículo 3° del Decreto 1070 de 2013, indica:</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w:t>
      </w:r>
      <w:r w:rsidRPr="001A0BC4">
        <w:rPr>
          <w:rFonts w:eastAsia="Times New Roman" w:cs="Times New Roman"/>
          <w:b/>
          <w:bCs/>
          <w:i/>
          <w:iCs/>
          <w:szCs w:val="24"/>
          <w:lang w:eastAsia="es-CO"/>
        </w:rPr>
        <w:t>Artículo 1°.</w:t>
      </w:r>
      <w:r w:rsidRPr="001A0BC4">
        <w:rPr>
          <w:rFonts w:eastAsia="Times New Roman" w:cs="Times New Roman"/>
          <w:i/>
          <w:iCs/>
          <w:szCs w:val="24"/>
          <w:lang w:eastAsia="es-CO"/>
        </w:rPr>
        <w:t> De conformidad con lo previsto por el artículo 15 de la Ley 100 de 1993, modificado por el artículo 3° de la Ley 797 de 2003, </w:t>
      </w:r>
      <w:r w:rsidRPr="001A0BC4">
        <w:rPr>
          <w:rFonts w:eastAsia="Times New Roman" w:cs="Times New Roman"/>
          <w:i/>
          <w:iCs/>
          <w:szCs w:val="24"/>
          <w:u w:val="single"/>
          <w:lang w:eastAsia="es-CO"/>
        </w:rPr>
        <w:t>las personas naturales que prestan directamente servicios al Estado o a las entidades o empresas del sector privado bajo la modalidad de contratos de prestación de servicios o cualquier otra modalidad de servicios que adopten,</w:t>
      </w:r>
      <w:r w:rsidRPr="001A0BC4">
        <w:rPr>
          <w:rFonts w:eastAsia="Times New Roman" w:cs="Times New Roman"/>
          <w:i/>
          <w:iCs/>
          <w:szCs w:val="24"/>
          <w:lang w:eastAsia="es-CO"/>
        </w:rPr>
        <w:t> deberán estar afiliados al Sistema General de Pensiones y...”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Por su parte, el artículo 157 de la Ley 100 de 1993, señala que los afiliados al Sistema General de Seguridad Social en Salud mediante el régimen contributivo son las personas vinculadas a través de contrato de trabajo, los servidores públicos, los pensionados y jubilados y los trabajadores independientes con capacidad de pago.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360E1D">
        <w:rPr>
          <w:rFonts w:eastAsia="Times New Roman" w:cs="Times New Roman"/>
          <w:szCs w:val="24"/>
          <w:highlight w:val="green"/>
          <w:lang w:eastAsia="es-CO"/>
        </w:rPr>
        <w:t>Ahora bien, el inciso primero del artículo 23 del Decreto 1703 de 2002, al que remite expresamente el artículo 3° del Decreto 1070 de 2013, señala:</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b/>
          <w:bCs/>
          <w:i/>
          <w:iCs/>
          <w:szCs w:val="24"/>
          <w:lang w:eastAsia="es-CO"/>
        </w:rPr>
        <w:t>“Artículo 23.</w:t>
      </w:r>
      <w:r w:rsidRPr="001A0BC4">
        <w:rPr>
          <w:rFonts w:eastAsia="Times New Roman" w:cs="Times New Roman"/>
          <w:i/>
          <w:iCs/>
          <w:szCs w:val="24"/>
          <w:lang w:eastAsia="es-CO"/>
        </w:rPr>
        <w:t> </w:t>
      </w:r>
      <w:r w:rsidRPr="001A0BC4">
        <w:rPr>
          <w:rFonts w:eastAsia="Times New Roman" w:cs="Times New Roman"/>
          <w:b/>
          <w:bCs/>
          <w:i/>
          <w:iCs/>
          <w:szCs w:val="24"/>
          <w:lang w:eastAsia="es-CO"/>
        </w:rPr>
        <w:t>Cotizaciones en contratación no laboral</w:t>
      </w:r>
      <w:r w:rsidRPr="001A0BC4">
        <w:rPr>
          <w:rFonts w:eastAsia="Times New Roman" w:cs="Times New Roman"/>
          <w:i/>
          <w:iCs/>
          <w:szCs w:val="24"/>
          <w:lang w:eastAsia="es-CO"/>
        </w:rPr>
        <w:t>. Para efectos de lo establecido en el artículo 271 de la Ley 100 de 1993, </w:t>
      </w:r>
      <w:r w:rsidRPr="001A0BC4">
        <w:rPr>
          <w:rFonts w:eastAsia="Times New Roman" w:cs="Times New Roman"/>
          <w:i/>
          <w:iCs/>
          <w:szCs w:val="24"/>
          <w:u w:val="single"/>
          <w:lang w:eastAsia="es-CO"/>
        </w:rPr>
        <w:t>en los contratos en donde esté involucrada la ejecución de un servicio por una persona natural</w:t>
      </w:r>
      <w:r w:rsidRPr="001A0BC4">
        <w:rPr>
          <w:rFonts w:eastAsia="Times New Roman" w:cs="Times New Roman"/>
          <w:i/>
          <w:iCs/>
          <w:szCs w:val="24"/>
          <w:lang w:eastAsia="es-CO"/>
        </w:rPr>
        <w:t> en favor de una persona natural o jurídica de derecho público o privado, tales como contratos de obra, de arrendamiento de servicios, de prestación de servicios, consultoría, asesoría y cuya duración sea superior a tres (3) meses, la parte contratante deberá verificar la afiliación y pago de aportes al Sistema General de Seguridad Social en Salud."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En cuanto al Sistema General de Riesgos Laborales, el artículo 13 del Decreto Ley 1295 de 1994, modificado por el artículo 2° de la Ley 1562 de 2012, ordena:</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w:t>
      </w:r>
      <w:r w:rsidRPr="001A0BC4">
        <w:rPr>
          <w:rFonts w:eastAsia="Times New Roman" w:cs="Times New Roman"/>
          <w:b/>
          <w:bCs/>
          <w:i/>
          <w:iCs/>
          <w:szCs w:val="24"/>
          <w:lang w:eastAsia="es-CO"/>
        </w:rPr>
        <w:t>Artículo 13. Afiliados</w:t>
      </w:r>
      <w:r w:rsidRPr="001A0BC4">
        <w:rPr>
          <w:rFonts w:eastAsia="Times New Roman" w:cs="Times New Roman"/>
          <w:i/>
          <w:iCs/>
          <w:szCs w:val="24"/>
          <w:lang w:eastAsia="es-CO"/>
        </w:rPr>
        <w:t>. Son afiliados al Sistema General de Riesgos Laborales:</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641" w:hanging="357"/>
        <w:jc w:val="both"/>
        <w:rPr>
          <w:rFonts w:eastAsia="Times New Roman" w:cs="Times New Roman"/>
          <w:szCs w:val="24"/>
          <w:lang w:eastAsia="es-CO"/>
        </w:rPr>
      </w:pPr>
      <w:r w:rsidRPr="001A0BC4">
        <w:rPr>
          <w:rFonts w:eastAsia="Times New Roman" w:cs="Times New Roman"/>
          <w:i/>
          <w:iCs/>
          <w:szCs w:val="24"/>
          <w:lang w:eastAsia="es-CO"/>
        </w:rPr>
        <w:t>a)</w:t>
      </w:r>
      <w:r w:rsidRPr="001A0BC4">
        <w:rPr>
          <w:rFonts w:eastAsia="Times New Roman" w:cs="Times New Roman"/>
          <w:szCs w:val="24"/>
          <w:lang w:eastAsia="es-CO"/>
        </w:rPr>
        <w:t>    </w:t>
      </w:r>
      <w:r w:rsidRPr="001A0BC4">
        <w:rPr>
          <w:rFonts w:eastAsia="Times New Roman" w:cs="Times New Roman"/>
          <w:i/>
          <w:iCs/>
          <w:szCs w:val="24"/>
          <w:lang w:eastAsia="es-CO"/>
        </w:rPr>
        <w:t>En forma obligatoria:</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1. Los trabajadores dependientes nacionales o extranjeros, vinculados mediante contrato de trabajo escrito o verbal y los servidores públicos; </w:t>
      </w:r>
      <w:r w:rsidRPr="001A0BC4">
        <w:rPr>
          <w:rFonts w:eastAsia="Times New Roman" w:cs="Times New Roman"/>
          <w:i/>
          <w:iCs/>
          <w:szCs w:val="24"/>
          <w:u w:val="single"/>
          <w:lang w:eastAsia="es-CO"/>
        </w:rPr>
        <w:t>las personas vinculadas a través de un contrato formal de prestación de servicios con entidades o instituciones públicas o privadas, tales como contratos civiles, comerciales o administrativos,</w:t>
      </w:r>
      <w:r w:rsidRPr="001A0BC4">
        <w:rPr>
          <w:rFonts w:eastAsia="Times New Roman" w:cs="Times New Roman"/>
          <w:i/>
          <w:iCs/>
          <w:szCs w:val="24"/>
          <w:lang w:eastAsia="es-CO"/>
        </w:rPr>
        <w:t> con una duración superior a un mes y con precisión de las situaciones de tiempo, modo y lugar en que se realiza dicha prestación. …"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En este contexto, se colige que por regla general, en los contratos (Sic) sean civiles, comerciales o administrativos en donde esté involucrada la prestación de un servicio por una persona natural en favor de una persona natural o jurídica de derecho público o privado, indistintamente de la forma en que se pacte el servicio, de la denominación de la remuneración, o de los elementos o maquinaria utilizada para su prestación (Oficio No. 072394 del 13 de noviembre de 2013), la parte contratante deberá verificar la afiliación y el pago de aportes al Sistema de Seguridad Social Integral.</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360E1D">
        <w:rPr>
          <w:rFonts w:eastAsia="Times New Roman" w:cs="Times New Roman"/>
          <w:szCs w:val="24"/>
          <w:highlight w:val="green"/>
          <w:lang w:eastAsia="es-CO"/>
        </w:rPr>
        <w:t xml:space="preserve">Con todo, con el fin de despejar cualquier duda, este Despacho formuló la siguiente consulta a la U.A.E. de Gestión Pensional y Contribuciones Parafiscales de la Protección Social - </w:t>
      </w:r>
      <w:r w:rsidRPr="00360E1D">
        <w:rPr>
          <w:rFonts w:eastAsia="Times New Roman" w:cs="Times New Roman"/>
          <w:szCs w:val="24"/>
          <w:highlight w:val="green"/>
          <w:lang w:eastAsia="es-CO"/>
        </w:rPr>
        <w:lastRenderedPageBreak/>
        <w:t>UGPP, mediante oficio No. 075557 del 25 de noviembre de 2013, por ser la entidad competente al respecto: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360E1D">
        <w:rPr>
          <w:rFonts w:eastAsia="Times New Roman" w:cs="Times New Roman"/>
          <w:i/>
          <w:iCs/>
          <w:szCs w:val="24"/>
          <w:highlight w:val="green"/>
          <w:lang w:eastAsia="es-CO"/>
        </w:rPr>
        <w:t>¿Las personas naturales que prestan el servicio de transporte de carga como trabajadores independientes (sin vínculo laboral) con su propio vehículo o sin él, están obligadas a efectuar aportes al Sistema General de Seguridad Social?</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La Subdirección Jurídica de Parafiscales de la U.A.E. de Gestión Pensional y Contribuciones Parafiscales de la Protección Social - UGPP, dio respuesta a la anterior solicitud, mediante Oficio No. UGPP 20139014031441 del 20 de diciembre de 2013, en los siguientes términos: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 Deber de afiliarse y cotizar a los subsistemas de la protección social en Salud, Pensión y Riesgos Laborales por parte de los trabajadores independientes, contratistas de prestación de servicios y el deber del contratante de verificar su afiliación y pago.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xml:space="preserve">La Ley 1393 de 2010 "Por la cual se definen rentas de destinación específica para la salud, se adoptan medidas para promover actividades generadoras de recursos para la salud, para evitar la evasión y la elusión de aportes a la salud, se </w:t>
      </w:r>
      <w:proofErr w:type="spellStart"/>
      <w:r w:rsidRPr="001A0BC4">
        <w:rPr>
          <w:rFonts w:eastAsia="Times New Roman" w:cs="Times New Roman"/>
          <w:i/>
          <w:iCs/>
          <w:szCs w:val="24"/>
          <w:lang w:eastAsia="es-CO"/>
        </w:rPr>
        <w:t>redireccionan</w:t>
      </w:r>
      <w:proofErr w:type="spellEnd"/>
      <w:r w:rsidRPr="001A0BC4">
        <w:rPr>
          <w:rFonts w:eastAsia="Times New Roman" w:cs="Times New Roman"/>
          <w:i/>
          <w:iCs/>
          <w:szCs w:val="24"/>
          <w:lang w:eastAsia="es-CO"/>
        </w:rPr>
        <w:t xml:space="preserve"> recursos al interior del sistema de salud y se dictan otras disposiciones", en el artículo 26 consagró que en los contratos de prestación de servicios el contratante debe </w:t>
      </w:r>
      <w:r w:rsidRPr="001A0BC4">
        <w:rPr>
          <w:rFonts w:eastAsia="Times New Roman" w:cs="Times New Roman"/>
          <w:b/>
          <w:bCs/>
          <w:i/>
          <w:iCs/>
          <w:szCs w:val="24"/>
          <w:u w:val="single"/>
          <w:lang w:eastAsia="es-CO"/>
        </w:rPr>
        <w:t>comprobar la afiliación y pago</w:t>
      </w:r>
      <w:r w:rsidRPr="001A0BC4">
        <w:rPr>
          <w:rFonts w:eastAsia="Times New Roman" w:cs="Times New Roman"/>
          <w:i/>
          <w:iCs/>
          <w:szCs w:val="24"/>
          <w:lang w:eastAsia="es-CO"/>
        </w:rPr>
        <w:t> de los aportes del contratista al Sistema de la Protección Social, a saber:</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360E1D" w:rsidRDefault="001A0BC4" w:rsidP="001A0BC4">
      <w:pPr>
        <w:spacing w:after="0" w:line="240" w:lineRule="auto"/>
        <w:ind w:left="567"/>
        <w:jc w:val="both"/>
        <w:rPr>
          <w:rFonts w:eastAsia="Times New Roman" w:cs="Times New Roman"/>
          <w:szCs w:val="24"/>
          <w:highlight w:val="green"/>
          <w:lang w:eastAsia="es-CO"/>
        </w:rPr>
      </w:pPr>
      <w:r w:rsidRPr="00360E1D">
        <w:rPr>
          <w:rFonts w:eastAsia="Times New Roman" w:cs="Times New Roman"/>
          <w:i/>
          <w:iCs/>
          <w:szCs w:val="24"/>
          <w:highlight w:val="green"/>
          <w:lang w:eastAsia="es-CO"/>
        </w:rPr>
        <w:t>“ARTÍCULO 26. </w:t>
      </w:r>
      <w:r w:rsidRPr="00360E1D">
        <w:rPr>
          <w:rFonts w:eastAsia="Times New Roman" w:cs="Times New Roman"/>
          <w:b/>
          <w:bCs/>
          <w:i/>
          <w:iCs/>
          <w:szCs w:val="24"/>
          <w:highlight w:val="green"/>
          <w:u w:val="single"/>
          <w:lang w:eastAsia="es-CO"/>
        </w:rPr>
        <w:t>La celebración</w:t>
      </w:r>
      <w:r w:rsidRPr="00360E1D">
        <w:rPr>
          <w:rFonts w:eastAsia="Times New Roman" w:cs="Times New Roman"/>
          <w:i/>
          <w:iCs/>
          <w:szCs w:val="24"/>
          <w:highlight w:val="green"/>
          <w:lang w:eastAsia="es-CO"/>
        </w:rPr>
        <w:t> y cumplimiento de las obligaciones derivadas de contratos de prestación de servicios </w:t>
      </w:r>
      <w:r w:rsidRPr="00360E1D">
        <w:rPr>
          <w:rFonts w:eastAsia="Times New Roman" w:cs="Times New Roman"/>
          <w:b/>
          <w:bCs/>
          <w:i/>
          <w:iCs/>
          <w:szCs w:val="24"/>
          <w:highlight w:val="green"/>
          <w:u w:val="single"/>
          <w:lang w:eastAsia="es-CO"/>
        </w:rPr>
        <w:t>estará condicionada a la verificación por parte del contratante de la afiliación y pago de los aportes al sistema de protección social</w:t>
      </w:r>
      <w:r w:rsidRPr="00360E1D">
        <w:rPr>
          <w:rFonts w:eastAsia="Times New Roman" w:cs="Times New Roman"/>
          <w:i/>
          <w:iCs/>
          <w:szCs w:val="24"/>
          <w:highlight w:val="green"/>
          <w:lang w:eastAsia="es-CO"/>
        </w:rPr>
        <w:t>, conforme a la reglamentación que para el efecto expida el Gobierno Nacional.</w:t>
      </w:r>
    </w:p>
    <w:p w:rsidR="001A0BC4" w:rsidRPr="00360E1D" w:rsidRDefault="001A0BC4" w:rsidP="001A0BC4">
      <w:pPr>
        <w:spacing w:after="0" w:line="240" w:lineRule="auto"/>
        <w:ind w:left="567"/>
        <w:jc w:val="both"/>
        <w:rPr>
          <w:rFonts w:eastAsia="Times New Roman" w:cs="Times New Roman"/>
          <w:szCs w:val="24"/>
          <w:highlight w:val="green"/>
          <w:lang w:eastAsia="es-CO"/>
        </w:rPr>
      </w:pPr>
      <w:r w:rsidRPr="00360E1D">
        <w:rPr>
          <w:rFonts w:eastAsia="Times New Roman" w:cs="Times New Roman"/>
          <w:i/>
          <w:iCs/>
          <w:szCs w:val="24"/>
          <w:highlight w:val="green"/>
          <w:lang w:eastAsia="es-CO"/>
        </w:rPr>
        <w:t> </w:t>
      </w:r>
    </w:p>
    <w:p w:rsidR="001A0BC4" w:rsidRPr="001A0BC4" w:rsidRDefault="001A0BC4" w:rsidP="001A0BC4">
      <w:pPr>
        <w:spacing w:after="0" w:line="240" w:lineRule="auto"/>
        <w:ind w:left="567"/>
        <w:jc w:val="both"/>
        <w:rPr>
          <w:rFonts w:eastAsia="Times New Roman" w:cs="Times New Roman"/>
          <w:szCs w:val="24"/>
          <w:lang w:eastAsia="es-CO"/>
        </w:rPr>
      </w:pPr>
      <w:r w:rsidRPr="00360E1D">
        <w:rPr>
          <w:rFonts w:eastAsia="Times New Roman" w:cs="Times New Roman"/>
          <w:i/>
          <w:iCs/>
          <w:szCs w:val="24"/>
          <w:highlight w:val="green"/>
          <w:lang w:eastAsia="es-CO"/>
        </w:rPr>
        <w:t>El Gobierno Nacional podrá adoptar mecanismos de retención para el cumplimiento de estas obligaciones, así como la devolución de saldos a favor" (Negrilla y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De las citadas disposiciones se colige que la persona jurídica contratante tiene la obligación de exigirle a la persona natural con quien va a suscribir el contrato, la afiliación y pago de los aportes al Sistema de la Protección Social en Salud, Pensión y Riesgos Laborales si hay lugar, así:</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a) Sistema General de Salud</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Los objetivos del Sistema General de Seguridad Social en Salud son regular el servicio público esencial de salud y crear condiciones de acceso de toda la población al servicio en todos los niveles de atención. A su vez el artículo 157 de la Ley 100 de 1993 determinó que existen varios participantes en el Sistema General de Seguridad Social en Salud, unos en calidad de afiliados al régimen contributivo o al régimen subsidiado y otros en forma temporal como participantes vinculados hoy población pobre no asegurada.</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Los afiliados al sistema mediante el régimen contributivo son:</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Las personas vinculadas a través de contrato de trabajo.</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Los servidores públicos.</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Los pensionados y jubilados.</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Los trabajadores independientes con capacidad de pago.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Y los afiliados por medio del régimen subsidiado, son las personas sin capacidad de pago para cubrir el monto total de la cotización.</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lastRenderedPageBreak/>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En el mismo sentido, el artículo 25 del Decreto 806 de 1998 “por el cual se reglamenta la afiliación al Régimen de Seguridad Social en Salud y la prestación de los beneficios del servicio público esencial de Seguridad Social en Salud y como servicio de interés general, en todo el territorio nacional", estableció que son afiliados al Sistema General de Seguridad Social en Salud:</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r w:rsidRPr="001A0BC4">
        <w:rPr>
          <w:rFonts w:eastAsia="Times New Roman" w:cs="Times New Roman"/>
          <w:b/>
          <w:bCs/>
          <w:i/>
          <w:iCs/>
          <w:szCs w:val="24"/>
          <w:lang w:eastAsia="es-CO"/>
        </w:rPr>
        <w:t>todos los residentes en Colombia que se encuentren afiliados al Régimen Contributivo </w:t>
      </w:r>
      <w:r w:rsidRPr="001A0BC4">
        <w:rPr>
          <w:rFonts w:eastAsia="Times New Roman" w:cs="Times New Roman"/>
          <w:i/>
          <w:iCs/>
          <w:szCs w:val="24"/>
          <w:lang w:eastAsia="es-CO"/>
        </w:rPr>
        <w:t>o al Régimen Subsidiado y los vinculados temporalmente según lo dispuesto en el presente decreto.</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La afiliación al Sistema General de Seguridad en Salud, es obligatoria</w:t>
      </w:r>
      <w:r w:rsidRPr="001A0BC4">
        <w:rPr>
          <w:rFonts w:eastAsia="Times New Roman" w:cs="Times New Roman"/>
          <w:i/>
          <w:iCs/>
          <w:szCs w:val="24"/>
          <w:lang w:eastAsia="es-CO"/>
        </w:rPr>
        <w:t> y se efectuará a través de los regímenes contributivo y subsidiado. Temporalmente, participará dentro del sistema la población sin capacidad de pago que se encuentre vinculada al sistema.</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(Negrilla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Así mismo, el artículo 26 ibídem consagró lo siguiente:</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u w:val="single"/>
          <w:lang w:eastAsia="es-CO"/>
        </w:rPr>
        <w:t>"Las personas con capacidad de pago deberán afiliarse al Régimen Contributivo mediante el pago de una cotización o aporte económico previo</w:t>
      </w:r>
      <w:r w:rsidRPr="001A0BC4">
        <w:rPr>
          <w:rFonts w:eastAsia="Times New Roman" w:cs="Times New Roman"/>
          <w:i/>
          <w:iCs/>
          <w:szCs w:val="24"/>
          <w:lang w:eastAsia="es-CO"/>
        </w:rPr>
        <w:t>, el cual será financiado directamente por el afiliado o en concurrencia entre éste y su empleador.</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(Negrilla y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Con base en las normas estudiadas obsérvese que las personas con capacidad de pago, deben estar afiliados al Sistema General de Seguridad Social en Salud por el Régimen Contributivo, encontrándose en este grupo poblacional, aquellas personas vinculadas mediante contrato de trabajo verbal o escrito, los servidores públicos, los pensionados y jubilados y los trabajadores independientes con capacidad de pago.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b) Sistema General de Pensiones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Según el artículo 10 de la Ley 100 de 1993 el Sistema General de Pensiones tiene como objeto </w:t>
      </w:r>
      <w:r w:rsidRPr="001A0BC4">
        <w:rPr>
          <w:rFonts w:eastAsia="Times New Roman" w:cs="Times New Roman"/>
          <w:b/>
          <w:bCs/>
          <w:i/>
          <w:iCs/>
          <w:szCs w:val="24"/>
          <w:u w:val="single"/>
          <w:lang w:eastAsia="es-CO"/>
        </w:rPr>
        <w:t>"garantizar a la población, el amparo contra las contingencias derivadas de la vejez, la invalidez y la muerte, mediante el reconocimiento de las pensiones y prestaciones</w:t>
      </w:r>
      <w:r w:rsidRPr="001A0BC4">
        <w:rPr>
          <w:rFonts w:eastAsia="Times New Roman" w:cs="Times New Roman"/>
          <w:i/>
          <w:iCs/>
          <w:szCs w:val="24"/>
          <w:lang w:eastAsia="es-CO"/>
        </w:rPr>
        <w:t> que se determinan en la presente ley, así como propender por la ampliación progresiva de cobertura a los segmentos de población no cubiertos con un sistema de pensiones." (Negrilla y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El artículo 3 de la Ley 797 de 2003 "Por la cual se reforman algunas disposiciones del sistema general de pensiones previsto en la Ley 100 de 1993 y se adoptan disposiciones sobre los Regímenes Pensionales exceptuados y especiales", que modificó el artículo 15 de la Ley 100 de 1993 determinó que son afiliados obligatorios al Sistema General de Pensiones: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“1. En forma obligatoria. </w:t>
      </w:r>
      <w:r w:rsidRPr="001A0BC4">
        <w:rPr>
          <w:rFonts w:eastAsia="Times New Roman" w:cs="Times New Roman"/>
          <w:b/>
          <w:bCs/>
          <w:i/>
          <w:iCs/>
          <w:szCs w:val="24"/>
          <w:lang w:eastAsia="es-CO"/>
        </w:rPr>
        <w:t>Todas aquellas personas vinculadas mediante contrato de trabajo o como servidores públicos. Así mismo, </w:t>
      </w:r>
      <w:r w:rsidRPr="001A0BC4">
        <w:rPr>
          <w:rFonts w:eastAsia="Times New Roman" w:cs="Times New Roman"/>
          <w:b/>
          <w:bCs/>
          <w:i/>
          <w:iCs/>
          <w:szCs w:val="24"/>
          <w:u w:val="single"/>
          <w:lang w:eastAsia="es-CO"/>
        </w:rPr>
        <w:t>las personas naturales que presten directamente servicios al Estado o a las entidades o empresas del sector privado, bajo la modalidad de contratos de prestación de servicios, o cualquier otra modalidad de servicios que adopten, los trabajadores independientes</w:t>
      </w:r>
      <w:r w:rsidRPr="001A0BC4">
        <w:rPr>
          <w:rFonts w:eastAsia="Times New Roman" w:cs="Times New Roman"/>
          <w:i/>
          <w:iCs/>
          <w:szCs w:val="24"/>
          <w:lang w:eastAsia="es-CO"/>
        </w:rPr>
        <w:t> y los grupos de población que por sus características o condiciones socioeconómicas sean elegidos para ser beneficiarios de subsidios a través del Fondo de Solidaridad Pensional, de acuerdo con las disponibilidades presupuestales.</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lastRenderedPageBreak/>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(Negrilla y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c) Sistema General de Riesgos Laborales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El artículo 2 de la Ley 1562 de 2012 “por el cual se modifica el sistema de riesgos laborales y se dictan otras disposiciones en materia de salud ocupacional" que modificó el artículo 13 del Decreto Ley 1295 de 1994 consagró que son afiliados en forma obligatoria al Sistema General de Riesgos Laborales entre otros las personas que cuenten con un contrato de prestación de servicios con empresas públicas o privadas, con una duración superior a un mes en el siguiente sentido: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“Artículo 2°.</w:t>
      </w:r>
      <w:r w:rsidRPr="001A0BC4">
        <w:rPr>
          <w:rFonts w:eastAsia="Times New Roman" w:cs="Times New Roman"/>
          <w:i/>
          <w:iCs/>
          <w:szCs w:val="24"/>
          <w:lang w:eastAsia="es-CO"/>
        </w:rPr>
        <w:t> Modifíquese el artículo 13 del Decreto-ley 1295 de 1994, el cual quedará así:</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szCs w:val="24"/>
          <w:lang w:eastAsia="es-CO"/>
        </w:rPr>
        <w:t>Artículo 13. Afiliados</w:t>
      </w:r>
      <w:r w:rsidRPr="001A0BC4">
        <w:rPr>
          <w:rFonts w:eastAsia="Times New Roman" w:cs="Times New Roman"/>
          <w:szCs w:val="24"/>
          <w:lang w:eastAsia="es-CO"/>
        </w:rPr>
        <w:t>. Son afiliados al Sistema General de Riesgos Laborales:</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a) En forma obligatoria:</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1. Los trabajadores dependientes nacionales o extranjeros, vinculados mediante contrato de trabajo escrito o verbal y los servidores públicos; </w:t>
      </w:r>
      <w:r w:rsidRPr="001A0BC4">
        <w:rPr>
          <w:rFonts w:eastAsia="Times New Roman" w:cs="Times New Roman"/>
          <w:b/>
          <w:bCs/>
          <w:i/>
          <w:iCs/>
          <w:szCs w:val="24"/>
          <w:u w:val="single"/>
          <w:lang w:eastAsia="es-CO"/>
        </w:rPr>
        <w:t>las personas vinculadas a través de un contrato formal de prestación de servicios con entidades o instituciones</w:t>
      </w:r>
      <w:r w:rsidRPr="001A0BC4">
        <w:rPr>
          <w:rFonts w:eastAsia="Times New Roman" w:cs="Times New Roman"/>
          <w:i/>
          <w:iCs/>
          <w:szCs w:val="24"/>
          <w:lang w:eastAsia="es-CO"/>
        </w:rPr>
        <w:t> públicas o </w:t>
      </w:r>
      <w:r w:rsidRPr="001A0BC4">
        <w:rPr>
          <w:rFonts w:eastAsia="Times New Roman" w:cs="Times New Roman"/>
          <w:b/>
          <w:bCs/>
          <w:i/>
          <w:iCs/>
          <w:szCs w:val="24"/>
          <w:u w:val="single"/>
          <w:lang w:eastAsia="es-CO"/>
        </w:rPr>
        <w:t>privadas,</w:t>
      </w:r>
      <w:r w:rsidRPr="001A0BC4">
        <w:rPr>
          <w:rFonts w:eastAsia="Times New Roman" w:cs="Times New Roman"/>
          <w:i/>
          <w:iCs/>
          <w:szCs w:val="24"/>
          <w:lang w:eastAsia="es-CO"/>
        </w:rPr>
        <w:t> </w:t>
      </w:r>
      <w:r w:rsidRPr="001A0BC4">
        <w:rPr>
          <w:rFonts w:eastAsia="Times New Roman" w:cs="Times New Roman"/>
          <w:b/>
          <w:bCs/>
          <w:i/>
          <w:iCs/>
          <w:szCs w:val="24"/>
          <w:lang w:eastAsia="es-CO"/>
        </w:rPr>
        <w:t>tales como contratos civiles, comerciales o administrativos,</w:t>
      </w:r>
      <w:r w:rsidRPr="001A0BC4">
        <w:rPr>
          <w:rFonts w:eastAsia="Times New Roman" w:cs="Times New Roman"/>
          <w:i/>
          <w:iCs/>
          <w:szCs w:val="24"/>
          <w:lang w:eastAsia="es-CO"/>
        </w:rPr>
        <w:t> </w:t>
      </w:r>
      <w:r w:rsidRPr="001A0BC4">
        <w:rPr>
          <w:rFonts w:eastAsia="Times New Roman" w:cs="Times New Roman"/>
          <w:b/>
          <w:bCs/>
          <w:i/>
          <w:iCs/>
          <w:szCs w:val="24"/>
          <w:u w:val="single"/>
          <w:lang w:eastAsia="es-CO"/>
        </w:rPr>
        <w:t>con una duración superior a un mes </w:t>
      </w:r>
      <w:r w:rsidRPr="001A0BC4">
        <w:rPr>
          <w:rFonts w:eastAsia="Times New Roman" w:cs="Times New Roman"/>
          <w:b/>
          <w:bCs/>
          <w:i/>
          <w:iCs/>
          <w:szCs w:val="24"/>
          <w:lang w:eastAsia="es-CO"/>
        </w:rPr>
        <w:t>y con precisión de las situaciones de tiempo, modo y lugar en que se realiza dicha prestación.</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i/>
          <w:iCs/>
          <w:szCs w:val="24"/>
          <w:lang w:eastAsia="es-CO"/>
        </w:rPr>
        <w:t>(...)". (Negrilla y subrayado fuera de texto).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Efectuadas las anteriores precisiones, y respecto a la consulta esta Subdirección se permite manifestar lo siguiente:</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ind w:left="284"/>
        <w:jc w:val="both"/>
        <w:rPr>
          <w:rFonts w:eastAsia="Times New Roman" w:cs="Times New Roman"/>
          <w:szCs w:val="24"/>
          <w:lang w:eastAsia="es-CO"/>
        </w:rPr>
      </w:pPr>
      <w:r w:rsidRPr="001A0BC4">
        <w:rPr>
          <w:rFonts w:eastAsia="Times New Roman" w:cs="Times New Roman"/>
          <w:b/>
          <w:bCs/>
          <w:i/>
          <w:iCs/>
          <w:szCs w:val="24"/>
          <w:lang w:eastAsia="es-CO"/>
        </w:rPr>
        <w:t>1. Las personas naturales que prestan el servicio de transporte de carga como trabajadores independientes (sin vínculo laboral) con su propio vehículo o sin él, están obligadas a efectuar aportes al Sistema de Seguridad Social.</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b/>
          <w:bCs/>
          <w:i/>
          <w:iCs/>
          <w:szCs w:val="24"/>
          <w:lang w:eastAsia="es-CO"/>
        </w:rPr>
        <w:t>Respuesta:</w:t>
      </w:r>
      <w:r w:rsidRPr="001A0BC4">
        <w:rPr>
          <w:rFonts w:eastAsia="Times New Roman" w:cs="Times New Roman"/>
          <w:i/>
          <w:iCs/>
          <w:szCs w:val="24"/>
          <w:lang w:eastAsia="es-CO"/>
        </w:rPr>
        <w:t> Si, el artículo 15 de la Ley 100 de 1993, modificado por el artículo 3 de la Ley 797 de 2003, indica que son afiliados al Sistema General de Pensiones en forma obligatoria las personas naturales que presten servicios al Estado o a las entidades o empresas del sector privado, bajo la modalidad de contratos de prestación de servicios, </w:t>
      </w:r>
      <w:r w:rsidRPr="001A0BC4">
        <w:rPr>
          <w:rFonts w:eastAsia="Times New Roman" w:cs="Times New Roman"/>
          <w:b/>
          <w:bCs/>
          <w:i/>
          <w:iCs/>
          <w:szCs w:val="24"/>
          <w:u w:val="single"/>
          <w:lang w:eastAsia="es-CO"/>
        </w:rPr>
        <w:t>o cualquier otra modalidad de servicios que adopten, los trabajadores independientes.</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En materia del Sistema General de Seguridad Social en Salud, el artículo 23 del Decreto 1703 de 2002 "Por el cual se adoptan medidas para promover y controlar la afiliación y pago de aportes en el Sistema General de Seguridad Social en Salud" establece que en los contratos en los que esté involucrada la ejecución de un servicio por una persona natural en favor de una persona natural o jurídica de derecho público o privado, tales como contratos de obra, de arrendamiento de servicios, de prestación de servicios, consultoría, asesoría con duración superior a tres (3) meses, la parte contratante debe verificar la afiliación y pago de aportes al Sistema General de Seguridad Social en Salud.</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lastRenderedPageBreak/>
        <w:t>En cuanto al Sistema General de Riesgos Laborales el artículo 13 del Decreto 1295 de 1994, modificado por el artículo 2 de la Ley 1562 de 2012, determinó que son afiliados obligatorios al Sistema General de Riesgos Laborales entre otras personas aquellas vinculadas a través de un contrato formal de prestación de servicios con entidades públicas o privadas, </w:t>
      </w:r>
      <w:r w:rsidRPr="001A0BC4">
        <w:rPr>
          <w:rFonts w:eastAsia="Times New Roman" w:cs="Times New Roman"/>
          <w:b/>
          <w:bCs/>
          <w:i/>
          <w:iCs/>
          <w:szCs w:val="24"/>
          <w:u w:val="single"/>
          <w:lang w:eastAsia="es-CO"/>
        </w:rPr>
        <w:t>tales como contratos civiles, comerciales o administrativos</w:t>
      </w:r>
      <w:r w:rsidRPr="001A0BC4">
        <w:rPr>
          <w:rFonts w:eastAsia="Times New Roman" w:cs="Times New Roman"/>
          <w:i/>
          <w:iCs/>
          <w:szCs w:val="24"/>
          <w:lang w:eastAsia="es-CO"/>
        </w:rPr>
        <w:t>, con una duración superior a un mes y con precisión de las situaciones de tiempo, modo y lugar en que se realiza dicha prestación.</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i/>
          <w:iCs/>
          <w:szCs w:val="24"/>
          <w:lang w:eastAsia="es-CO"/>
        </w:rPr>
        <w:t> </w:t>
      </w:r>
    </w:p>
    <w:p w:rsidR="001A0BC4" w:rsidRPr="001A0BC4" w:rsidRDefault="001A0BC4" w:rsidP="001A0BC4">
      <w:pPr>
        <w:spacing w:after="0" w:line="240" w:lineRule="auto"/>
        <w:jc w:val="both"/>
        <w:rPr>
          <w:rFonts w:eastAsia="Times New Roman" w:cs="Times New Roman"/>
          <w:b/>
          <w:szCs w:val="24"/>
          <w:lang w:eastAsia="es-CO"/>
        </w:rPr>
      </w:pPr>
      <w:r w:rsidRPr="00360E1D">
        <w:rPr>
          <w:rFonts w:eastAsia="Times New Roman" w:cs="Times New Roman"/>
          <w:b/>
          <w:szCs w:val="24"/>
          <w:highlight w:val="green"/>
          <w:lang w:eastAsia="es-CO"/>
        </w:rPr>
        <w:t>En mérito de lo expuesto se confirma el Oficio No. 060032 del 23 de septiembre de 2013.</w:t>
      </w:r>
      <w:bookmarkStart w:id="0" w:name="_GoBack"/>
      <w:bookmarkEnd w:id="0"/>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Atentamente,</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 </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b/>
          <w:bCs/>
          <w:szCs w:val="24"/>
          <w:lang w:eastAsia="es-CO"/>
        </w:rPr>
        <w:t>DALILA ASTRID HERNÁNDEZ CORZO</w:t>
      </w:r>
    </w:p>
    <w:p w:rsidR="001A0BC4" w:rsidRPr="001A0BC4" w:rsidRDefault="001A0BC4" w:rsidP="001A0BC4">
      <w:pPr>
        <w:spacing w:after="0" w:line="240" w:lineRule="auto"/>
        <w:jc w:val="both"/>
        <w:rPr>
          <w:rFonts w:eastAsia="Times New Roman" w:cs="Times New Roman"/>
          <w:szCs w:val="24"/>
          <w:lang w:eastAsia="es-CO"/>
        </w:rPr>
      </w:pPr>
      <w:r w:rsidRPr="001A0BC4">
        <w:rPr>
          <w:rFonts w:eastAsia="Times New Roman" w:cs="Times New Roman"/>
          <w:szCs w:val="24"/>
          <w:lang w:eastAsia="es-CO"/>
        </w:rPr>
        <w:t>Directora de Gestión Jurídica</w:t>
      </w:r>
    </w:p>
    <w:p w:rsidR="00961BFA" w:rsidRPr="001A0BC4" w:rsidRDefault="00961BFA">
      <w:pPr>
        <w:rPr>
          <w:rFonts w:cs="Times New Roman"/>
          <w:szCs w:val="24"/>
        </w:rPr>
      </w:pPr>
    </w:p>
    <w:sectPr w:rsidR="00961BFA" w:rsidRPr="001A0BC4"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C4"/>
    <w:rsid w:val="001A0BC4"/>
    <w:rsid w:val="0029351E"/>
    <w:rsid w:val="00360E1D"/>
    <w:rsid w:val="00961BFA"/>
    <w:rsid w:val="00B94BED"/>
    <w:rsid w:val="00E3651C"/>
    <w:rsid w:val="00F751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C44D"/>
  <w15:chartTrackingRefBased/>
  <w15:docId w15:val="{A6B1540F-1061-4704-B306-BCA188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1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15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ta.org.co/html/vista_de_un_articulo.asp?Norma=151" TargetMode="External"/><Relationship Id="rId12" Type="http://schemas.openxmlformats.org/officeDocument/2006/relationships/hyperlink" Target="http://www.ceta.org.co/html/vista_de_un_articulo.asp?Norma=1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733" TargetMode="External"/><Relationship Id="rId11" Type="http://schemas.openxmlformats.org/officeDocument/2006/relationships/hyperlink" Target="http://www.ceta.org.co/html/vista_de_un_articulo.asp?Norma=156" TargetMode="External"/><Relationship Id="rId5" Type="http://schemas.openxmlformats.org/officeDocument/2006/relationships/hyperlink" Target="http://www.ceta.org.co/html/vista_de_un_articulo.asp?Norma=156" TargetMode="External"/><Relationship Id="rId10" Type="http://schemas.openxmlformats.org/officeDocument/2006/relationships/hyperlink" Target="http://www.ceta.org.co/html/vista_de_un_articulo.asp?Norma=151" TargetMode="External"/><Relationship Id="rId4" Type="http://schemas.openxmlformats.org/officeDocument/2006/relationships/hyperlink" Target="http://www.ceta.org.co/html/vista_de_un_articulo.asp?Norma=156" TargetMode="External"/><Relationship Id="rId9" Type="http://schemas.openxmlformats.org/officeDocument/2006/relationships/hyperlink" Target="http://www.ceta.org.co/html/vista_de_un_articulo.asp?Norma=15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4290</Words>
  <Characters>23600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Usuario de Windows</cp:lastModifiedBy>
  <cp:revision>2</cp:revision>
  <dcterms:created xsi:type="dcterms:W3CDTF">2019-02-11T12:59:00Z</dcterms:created>
  <dcterms:modified xsi:type="dcterms:W3CDTF">2019-02-11T12:59:00Z</dcterms:modified>
</cp:coreProperties>
</file>