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557" w:rsidRPr="00C97557" w:rsidRDefault="00C97557" w:rsidP="00C97557">
      <w:pPr>
        <w:spacing w:after="0" w:line="240" w:lineRule="auto"/>
        <w:jc w:val="center"/>
        <w:rPr>
          <w:rFonts w:eastAsia="Times New Roman" w:cs="Times New Roman"/>
          <w:b/>
          <w:szCs w:val="24"/>
          <w:lang w:eastAsia="es-CO"/>
        </w:rPr>
      </w:pPr>
      <w:r w:rsidRPr="00C97557">
        <w:rPr>
          <w:rFonts w:eastAsia="Times New Roman" w:cs="Times New Roman"/>
          <w:b/>
          <w:color w:val="000000"/>
          <w:szCs w:val="24"/>
          <w:lang w:eastAsia="es-CO"/>
        </w:rPr>
        <w:t>septiembre 5, 2006 12:00 am</w:t>
      </w:r>
    </w:p>
    <w:p w:rsidR="00C97557" w:rsidRDefault="00C97557" w:rsidP="00C97557">
      <w:pPr>
        <w:spacing w:after="0" w:line="240" w:lineRule="auto"/>
        <w:jc w:val="center"/>
        <w:rPr>
          <w:rFonts w:eastAsia="Times New Roman" w:cs="Times New Roman"/>
          <w:b/>
          <w:color w:val="000000"/>
          <w:szCs w:val="24"/>
          <w:lang w:eastAsia="es-CO"/>
        </w:rPr>
      </w:pPr>
    </w:p>
    <w:p w:rsidR="00C97557" w:rsidRPr="00C97557" w:rsidRDefault="00C97557" w:rsidP="00C97557">
      <w:pPr>
        <w:spacing w:after="0" w:line="240" w:lineRule="auto"/>
        <w:jc w:val="center"/>
        <w:rPr>
          <w:rFonts w:eastAsia="Times New Roman" w:cs="Times New Roman"/>
          <w:b/>
          <w:color w:val="000000"/>
          <w:szCs w:val="24"/>
          <w:lang w:eastAsia="es-CO"/>
        </w:rPr>
      </w:pPr>
      <w:bookmarkStart w:id="0" w:name="_GoBack"/>
      <w:bookmarkEnd w:id="0"/>
      <w:r w:rsidRPr="00C97557">
        <w:rPr>
          <w:rFonts w:eastAsia="Times New Roman" w:cs="Times New Roman"/>
          <w:b/>
          <w:color w:val="000000"/>
          <w:szCs w:val="24"/>
          <w:lang w:eastAsia="es-CO"/>
        </w:rPr>
        <w:t>Concepto N° 075070</w:t>
      </w:r>
    </w:p>
    <w:p w:rsidR="00C97557" w:rsidRPr="00C97557" w:rsidRDefault="00C97557" w:rsidP="00C97557">
      <w:pPr>
        <w:spacing w:after="0" w:line="240" w:lineRule="auto"/>
        <w:jc w:val="center"/>
        <w:rPr>
          <w:rFonts w:eastAsia="Times New Roman" w:cs="Times New Roman"/>
          <w:b/>
          <w:color w:val="000000"/>
          <w:szCs w:val="24"/>
          <w:lang w:eastAsia="es-CO"/>
        </w:rPr>
      </w:pPr>
      <w:r w:rsidRPr="00C97557">
        <w:rPr>
          <w:rFonts w:eastAsia="Times New Roman" w:cs="Times New Roman"/>
          <w:b/>
          <w:color w:val="000000"/>
          <w:szCs w:val="24"/>
          <w:lang w:eastAsia="es-CO"/>
        </w:rPr>
        <w:br/>
        <w:t>04-09-2006</w:t>
      </w:r>
    </w:p>
    <w:p w:rsidR="00C97557" w:rsidRPr="00C97557" w:rsidRDefault="00C97557" w:rsidP="00C97557">
      <w:pPr>
        <w:spacing w:after="0" w:line="240" w:lineRule="auto"/>
        <w:jc w:val="center"/>
        <w:rPr>
          <w:rFonts w:eastAsia="Times New Roman" w:cs="Times New Roman"/>
          <w:b/>
          <w:color w:val="000000"/>
          <w:szCs w:val="24"/>
          <w:lang w:eastAsia="es-CO"/>
        </w:rPr>
      </w:pPr>
      <w:r w:rsidRPr="00C97557">
        <w:rPr>
          <w:rFonts w:eastAsia="Times New Roman" w:cs="Times New Roman"/>
          <w:b/>
          <w:color w:val="000000"/>
          <w:szCs w:val="24"/>
          <w:lang w:eastAsia="es-CO"/>
        </w:rPr>
        <w:t>DIAN</w:t>
      </w:r>
    </w:p>
    <w:p w:rsidR="00C97557" w:rsidRPr="00C97557" w:rsidRDefault="00C97557" w:rsidP="00C97557">
      <w:pPr>
        <w:spacing w:before="100" w:beforeAutospacing="1" w:after="100" w:afterAutospacing="1" w:line="240" w:lineRule="auto"/>
        <w:jc w:val="both"/>
        <w:rPr>
          <w:rFonts w:eastAsia="Times New Roman" w:cs="Times New Roman"/>
          <w:color w:val="000000"/>
          <w:szCs w:val="24"/>
          <w:lang w:eastAsia="es-CO"/>
        </w:rPr>
      </w:pPr>
      <w:r w:rsidRPr="00C97557">
        <w:rPr>
          <w:rFonts w:eastAsia="Times New Roman" w:cs="Times New Roman"/>
          <w:color w:val="000000"/>
          <w:szCs w:val="24"/>
          <w:lang w:eastAsia="es-CO"/>
        </w:rPr>
        <w:t>Retención en la fuente a notarios</w:t>
      </w:r>
    </w:p>
    <w:p w:rsidR="00C97557" w:rsidRPr="00C97557" w:rsidRDefault="00C97557" w:rsidP="00C97557">
      <w:pPr>
        <w:spacing w:before="100" w:beforeAutospacing="1" w:after="100" w:afterAutospacing="1" w:line="240" w:lineRule="auto"/>
        <w:jc w:val="both"/>
        <w:rPr>
          <w:rFonts w:eastAsia="Times New Roman" w:cs="Times New Roman"/>
          <w:color w:val="000000"/>
          <w:szCs w:val="24"/>
          <w:lang w:eastAsia="es-CO"/>
        </w:rPr>
      </w:pPr>
      <w:r w:rsidRPr="00C97557">
        <w:rPr>
          <w:rFonts w:eastAsia="Times New Roman" w:cs="Times New Roman"/>
          <w:color w:val="000000"/>
          <w:szCs w:val="24"/>
          <w:lang w:eastAsia="es-CO"/>
        </w:rPr>
        <w:t>De conformidad con el artículo 11 del Decreto 1265 de 1999 y el artículo 10 de la Resolución 1618 del 22 de febrero de 2006, este Despacho es competente para absolver de manera general las consultas que se formulen sobre la interpretación y aplicación de las normas tributarias de carácter nacional. En este sentido se emite el presente concepto.</w:t>
      </w:r>
    </w:p>
    <w:p w:rsidR="00C97557" w:rsidRPr="00C97557" w:rsidRDefault="00C97557" w:rsidP="00C97557">
      <w:pPr>
        <w:spacing w:after="0" w:line="240" w:lineRule="auto"/>
        <w:jc w:val="both"/>
        <w:rPr>
          <w:rFonts w:eastAsia="Times New Roman" w:cs="Times New Roman"/>
          <w:color w:val="000000"/>
          <w:szCs w:val="24"/>
          <w:lang w:eastAsia="es-CO"/>
        </w:rPr>
      </w:pPr>
      <w:r w:rsidRPr="00C97557">
        <w:rPr>
          <w:rFonts w:eastAsia="Times New Roman" w:cs="Times New Roman"/>
          <w:color w:val="000000"/>
          <w:szCs w:val="24"/>
          <w:lang w:eastAsia="es-CO"/>
        </w:rPr>
        <w:t>TEMA Retención en la fuente</w:t>
      </w:r>
    </w:p>
    <w:p w:rsidR="00C97557" w:rsidRPr="00C97557" w:rsidRDefault="00C97557" w:rsidP="00C97557">
      <w:pPr>
        <w:spacing w:after="0" w:line="240" w:lineRule="auto"/>
        <w:jc w:val="both"/>
        <w:rPr>
          <w:rFonts w:eastAsia="Times New Roman" w:cs="Times New Roman"/>
          <w:color w:val="000000"/>
          <w:szCs w:val="24"/>
          <w:lang w:eastAsia="es-CO"/>
        </w:rPr>
      </w:pPr>
      <w:r w:rsidRPr="00C97557">
        <w:rPr>
          <w:rFonts w:eastAsia="Times New Roman" w:cs="Times New Roman"/>
          <w:color w:val="000000"/>
          <w:szCs w:val="24"/>
          <w:lang w:eastAsia="es-CO"/>
        </w:rPr>
        <w:t>DESCRIPTORES RETENCION EN LA FUENTE A NOTARIOS</w:t>
      </w:r>
    </w:p>
    <w:p w:rsidR="00C97557" w:rsidRPr="00C97557" w:rsidRDefault="00C97557" w:rsidP="00C97557">
      <w:pPr>
        <w:spacing w:after="0" w:line="240" w:lineRule="auto"/>
        <w:jc w:val="both"/>
        <w:rPr>
          <w:rFonts w:eastAsia="Times New Roman" w:cs="Times New Roman"/>
          <w:color w:val="000000"/>
          <w:szCs w:val="24"/>
          <w:lang w:eastAsia="es-CO"/>
        </w:rPr>
      </w:pPr>
      <w:r w:rsidRPr="00C97557">
        <w:rPr>
          <w:rFonts w:eastAsia="Times New Roman" w:cs="Times New Roman"/>
          <w:color w:val="000000"/>
          <w:szCs w:val="24"/>
          <w:lang w:eastAsia="es-CO"/>
        </w:rPr>
        <w:t>FUENTES FORMALES Estatuto Tributario Art. 392</w:t>
      </w:r>
    </w:p>
    <w:p w:rsidR="00C97557" w:rsidRPr="00C97557" w:rsidRDefault="00C97557" w:rsidP="00C97557">
      <w:pPr>
        <w:spacing w:after="0" w:line="240" w:lineRule="auto"/>
        <w:jc w:val="both"/>
        <w:rPr>
          <w:rFonts w:eastAsia="Times New Roman" w:cs="Times New Roman"/>
          <w:color w:val="000000"/>
          <w:szCs w:val="24"/>
          <w:lang w:eastAsia="es-CO"/>
        </w:rPr>
      </w:pPr>
      <w:r w:rsidRPr="00C97557">
        <w:rPr>
          <w:rFonts w:eastAsia="Times New Roman" w:cs="Times New Roman"/>
          <w:color w:val="000000"/>
          <w:szCs w:val="24"/>
          <w:lang w:eastAsia="es-CO"/>
        </w:rPr>
        <w:t>Ley 29 de 1973 Art. 2</w:t>
      </w:r>
    </w:p>
    <w:p w:rsidR="00C97557" w:rsidRPr="00C97557" w:rsidRDefault="00C97557" w:rsidP="00C97557">
      <w:pPr>
        <w:spacing w:after="0" w:line="240" w:lineRule="auto"/>
        <w:jc w:val="both"/>
        <w:rPr>
          <w:rFonts w:eastAsia="Times New Roman" w:cs="Times New Roman"/>
          <w:color w:val="000000"/>
          <w:szCs w:val="24"/>
          <w:lang w:eastAsia="es-CO"/>
        </w:rPr>
      </w:pPr>
      <w:r w:rsidRPr="00C97557">
        <w:rPr>
          <w:rFonts w:eastAsia="Times New Roman" w:cs="Times New Roman"/>
          <w:color w:val="000000"/>
          <w:szCs w:val="24"/>
          <w:lang w:eastAsia="es-CO"/>
        </w:rPr>
        <w:t>Decreto 4715 de 2005 Art. 1</w:t>
      </w:r>
    </w:p>
    <w:p w:rsidR="00C97557" w:rsidRPr="00C97557" w:rsidRDefault="00C97557" w:rsidP="00C97557">
      <w:pPr>
        <w:spacing w:after="0" w:line="240" w:lineRule="auto"/>
        <w:jc w:val="both"/>
        <w:rPr>
          <w:rFonts w:eastAsia="Times New Roman" w:cs="Times New Roman"/>
          <w:color w:val="000000"/>
          <w:szCs w:val="24"/>
          <w:lang w:eastAsia="es-CO"/>
        </w:rPr>
      </w:pPr>
      <w:r w:rsidRPr="00C97557">
        <w:rPr>
          <w:rFonts w:eastAsia="Times New Roman" w:cs="Times New Roman"/>
          <w:color w:val="000000"/>
          <w:szCs w:val="24"/>
          <w:lang w:eastAsia="es-CO"/>
        </w:rPr>
        <w:t>Decreto 1672 de 1997</w:t>
      </w:r>
    </w:p>
    <w:p w:rsidR="00C97557" w:rsidRPr="00C97557" w:rsidRDefault="00C97557" w:rsidP="00C97557">
      <w:pPr>
        <w:spacing w:after="0" w:line="240" w:lineRule="auto"/>
        <w:jc w:val="both"/>
        <w:rPr>
          <w:rFonts w:eastAsia="Times New Roman" w:cs="Times New Roman"/>
          <w:color w:val="000000"/>
          <w:szCs w:val="24"/>
          <w:lang w:eastAsia="es-CO"/>
        </w:rPr>
      </w:pPr>
      <w:r w:rsidRPr="00C97557">
        <w:rPr>
          <w:rFonts w:eastAsia="Times New Roman" w:cs="Times New Roman"/>
          <w:color w:val="000000"/>
          <w:szCs w:val="24"/>
          <w:lang w:eastAsia="es-CO"/>
        </w:rPr>
        <w:t>Resolución Nª 1722 de 2005 Superintendencia de Notariado y Registro.</w:t>
      </w:r>
    </w:p>
    <w:p w:rsidR="00C97557" w:rsidRPr="00C97557" w:rsidRDefault="00C97557" w:rsidP="00C97557">
      <w:pPr>
        <w:spacing w:after="0" w:line="240" w:lineRule="auto"/>
        <w:jc w:val="both"/>
        <w:rPr>
          <w:rFonts w:eastAsia="Times New Roman" w:cs="Times New Roman"/>
          <w:color w:val="000000"/>
          <w:szCs w:val="24"/>
          <w:lang w:eastAsia="es-CO"/>
        </w:rPr>
      </w:pPr>
      <w:r w:rsidRPr="00C97557">
        <w:rPr>
          <w:rFonts w:eastAsia="Times New Roman" w:cs="Times New Roman"/>
          <w:color w:val="000000"/>
          <w:szCs w:val="24"/>
          <w:lang w:eastAsia="es-CO"/>
        </w:rPr>
        <w:t>Ley 588 de 2000 Art. 4</w:t>
      </w:r>
    </w:p>
    <w:p w:rsidR="00C97557" w:rsidRPr="00C97557" w:rsidRDefault="00C97557" w:rsidP="00C97557">
      <w:pPr>
        <w:spacing w:after="0" w:line="240" w:lineRule="auto"/>
        <w:jc w:val="both"/>
        <w:rPr>
          <w:rFonts w:eastAsia="Times New Roman" w:cs="Times New Roman"/>
          <w:color w:val="000000"/>
          <w:szCs w:val="24"/>
          <w:lang w:eastAsia="es-CO"/>
        </w:rPr>
      </w:pPr>
      <w:r w:rsidRPr="00C97557">
        <w:rPr>
          <w:rFonts w:eastAsia="Times New Roman" w:cs="Times New Roman"/>
          <w:color w:val="000000"/>
          <w:szCs w:val="24"/>
          <w:lang w:eastAsia="es-CO"/>
        </w:rPr>
        <w:t>Ley 960 de 1970 Art 3.</w:t>
      </w:r>
    </w:p>
    <w:p w:rsidR="00C97557" w:rsidRPr="00C97557" w:rsidRDefault="00C97557" w:rsidP="00C97557">
      <w:pPr>
        <w:spacing w:after="0" w:line="240" w:lineRule="auto"/>
        <w:jc w:val="both"/>
        <w:rPr>
          <w:rFonts w:eastAsia="Times New Roman" w:cs="Times New Roman"/>
          <w:color w:val="000000"/>
          <w:szCs w:val="24"/>
          <w:lang w:eastAsia="es-CO"/>
        </w:rPr>
      </w:pPr>
      <w:r w:rsidRPr="00C97557">
        <w:rPr>
          <w:rFonts w:eastAsia="Times New Roman" w:cs="Times New Roman"/>
          <w:color w:val="000000"/>
          <w:szCs w:val="24"/>
          <w:lang w:eastAsia="es-CO"/>
        </w:rPr>
        <w:t>PROBLEMA JURIDICO:</w:t>
      </w:r>
    </w:p>
    <w:p w:rsidR="00C97557" w:rsidRPr="00C97557" w:rsidRDefault="00C97557" w:rsidP="00C97557">
      <w:pPr>
        <w:spacing w:before="100" w:beforeAutospacing="1" w:after="100" w:afterAutospacing="1" w:line="240" w:lineRule="auto"/>
        <w:jc w:val="both"/>
        <w:rPr>
          <w:rFonts w:eastAsia="Times New Roman" w:cs="Times New Roman"/>
          <w:color w:val="000000"/>
          <w:szCs w:val="24"/>
          <w:lang w:eastAsia="es-CO"/>
        </w:rPr>
      </w:pPr>
      <w:r w:rsidRPr="00C97557">
        <w:rPr>
          <w:rFonts w:eastAsia="Times New Roman" w:cs="Times New Roman"/>
          <w:color w:val="000000"/>
          <w:szCs w:val="24"/>
          <w:lang w:eastAsia="es-CO"/>
        </w:rPr>
        <w:t> ¿Los ingresos de los notarios provenientes de servicios prestados a sus usuarios, y de subvenciones del Fondo Cuenta Especial o de la Superintendencia de Notariado y Registro, están sujetos a Retención en la Fuente a título de honorarios o de Servicios en General?</w:t>
      </w:r>
    </w:p>
    <w:p w:rsidR="00C97557" w:rsidRPr="00C97557" w:rsidRDefault="00C97557" w:rsidP="00C97557">
      <w:pPr>
        <w:spacing w:before="100" w:beforeAutospacing="1" w:after="100" w:afterAutospacing="1" w:line="240" w:lineRule="auto"/>
        <w:jc w:val="both"/>
        <w:rPr>
          <w:rFonts w:eastAsia="Times New Roman" w:cs="Times New Roman"/>
          <w:b/>
          <w:color w:val="000000"/>
          <w:szCs w:val="24"/>
          <w:lang w:eastAsia="es-CO"/>
        </w:rPr>
      </w:pPr>
      <w:r w:rsidRPr="00C97557">
        <w:rPr>
          <w:rFonts w:eastAsia="Times New Roman" w:cs="Times New Roman"/>
          <w:b/>
          <w:color w:val="000000"/>
          <w:szCs w:val="24"/>
          <w:lang w:eastAsia="es-CO"/>
        </w:rPr>
        <w:t>TESIS JURIDICA:</w:t>
      </w:r>
    </w:p>
    <w:p w:rsidR="00C97557" w:rsidRPr="00C97557" w:rsidRDefault="00C97557" w:rsidP="00C97557">
      <w:pPr>
        <w:spacing w:before="100" w:beforeAutospacing="1" w:after="100" w:afterAutospacing="1" w:line="240" w:lineRule="auto"/>
        <w:jc w:val="both"/>
        <w:rPr>
          <w:rFonts w:eastAsia="Times New Roman" w:cs="Times New Roman"/>
          <w:b/>
          <w:color w:val="000000"/>
          <w:sz w:val="28"/>
          <w:szCs w:val="28"/>
          <w:lang w:eastAsia="es-CO"/>
        </w:rPr>
      </w:pPr>
      <w:r w:rsidRPr="00C97557">
        <w:rPr>
          <w:rFonts w:eastAsia="Times New Roman" w:cs="Times New Roman"/>
          <w:color w:val="000000"/>
          <w:szCs w:val="24"/>
          <w:highlight w:val="green"/>
          <w:lang w:eastAsia="es-CO"/>
        </w:rPr>
        <w:t xml:space="preserve">Las retribuciones por la actividad del notario, tanto por los servicios prestados a sus usuarios como las originadas en subvenciones del Fondo Cuenta Especial de Notariado (o de la Superintendencia de Notariado y Registro), se encuentran sujetas a </w:t>
      </w:r>
      <w:r w:rsidRPr="00C97557">
        <w:rPr>
          <w:rFonts w:eastAsia="Times New Roman" w:cs="Times New Roman"/>
          <w:b/>
          <w:color w:val="000000"/>
          <w:sz w:val="28"/>
          <w:szCs w:val="28"/>
          <w:highlight w:val="green"/>
          <w:lang w:eastAsia="es-CO"/>
        </w:rPr>
        <w:t>Retención en la Fuente a título de honorarios.</w:t>
      </w:r>
    </w:p>
    <w:p w:rsidR="00C97557" w:rsidRPr="00C97557" w:rsidRDefault="00C97557" w:rsidP="00C97557">
      <w:pPr>
        <w:spacing w:before="100" w:beforeAutospacing="1" w:after="100" w:afterAutospacing="1" w:line="240" w:lineRule="auto"/>
        <w:jc w:val="both"/>
        <w:rPr>
          <w:rFonts w:eastAsia="Times New Roman" w:cs="Times New Roman"/>
          <w:b/>
          <w:color w:val="000000"/>
          <w:szCs w:val="24"/>
          <w:lang w:eastAsia="es-CO"/>
        </w:rPr>
      </w:pPr>
      <w:r w:rsidRPr="00C97557">
        <w:rPr>
          <w:rFonts w:eastAsia="Times New Roman" w:cs="Times New Roman"/>
          <w:b/>
          <w:color w:val="000000"/>
          <w:szCs w:val="24"/>
          <w:lang w:eastAsia="es-CO"/>
        </w:rPr>
        <w:t>INTERPRETACION JURIDICA:</w:t>
      </w:r>
    </w:p>
    <w:p w:rsidR="00C97557" w:rsidRPr="00C97557" w:rsidRDefault="00C97557" w:rsidP="00C97557">
      <w:pPr>
        <w:spacing w:before="100" w:beforeAutospacing="1" w:after="100" w:afterAutospacing="1" w:line="240" w:lineRule="auto"/>
        <w:jc w:val="both"/>
        <w:rPr>
          <w:rFonts w:eastAsia="Times New Roman" w:cs="Times New Roman"/>
          <w:color w:val="000000"/>
          <w:szCs w:val="24"/>
          <w:lang w:eastAsia="es-CO"/>
        </w:rPr>
      </w:pPr>
      <w:r w:rsidRPr="00C97557">
        <w:rPr>
          <w:rFonts w:eastAsia="Times New Roman" w:cs="Times New Roman"/>
          <w:color w:val="000000"/>
          <w:szCs w:val="24"/>
          <w:lang w:eastAsia="es-CO"/>
        </w:rPr>
        <w:t>En el punto de consulta es necesario precisar que, conforme el artículo 2 de la Ley 29 de 1973, la remuneración de los notarios tiene dos orígenes:</w:t>
      </w:r>
    </w:p>
    <w:p w:rsidR="00C97557" w:rsidRPr="00C97557" w:rsidRDefault="00C97557" w:rsidP="00C97557">
      <w:pPr>
        <w:spacing w:before="100" w:beforeAutospacing="1" w:after="100" w:afterAutospacing="1" w:line="240" w:lineRule="auto"/>
        <w:jc w:val="both"/>
        <w:rPr>
          <w:rFonts w:eastAsia="Times New Roman" w:cs="Times New Roman"/>
          <w:color w:val="000000"/>
          <w:szCs w:val="24"/>
          <w:lang w:eastAsia="es-CO"/>
        </w:rPr>
      </w:pPr>
      <w:r w:rsidRPr="00C97557">
        <w:rPr>
          <w:rFonts w:eastAsia="Times New Roman" w:cs="Times New Roman"/>
          <w:color w:val="000000"/>
          <w:szCs w:val="24"/>
          <w:lang w:eastAsia="es-CO"/>
        </w:rPr>
        <w:t>En primer lugar, provienen de las sumas que reciben de los usuarios por la prestación de sus servicios de acuerdo con las tarifas legales.</w:t>
      </w:r>
    </w:p>
    <w:p w:rsidR="00C97557" w:rsidRPr="00C97557" w:rsidRDefault="00C97557" w:rsidP="00C97557">
      <w:pPr>
        <w:spacing w:before="100" w:beforeAutospacing="1" w:after="100" w:afterAutospacing="1" w:line="240" w:lineRule="auto"/>
        <w:jc w:val="both"/>
        <w:rPr>
          <w:rFonts w:eastAsia="Times New Roman" w:cs="Times New Roman"/>
          <w:color w:val="000000"/>
          <w:szCs w:val="24"/>
          <w:lang w:eastAsia="es-CO"/>
        </w:rPr>
      </w:pPr>
      <w:r w:rsidRPr="00C97557">
        <w:rPr>
          <w:rFonts w:eastAsia="Times New Roman" w:cs="Times New Roman"/>
          <w:color w:val="000000"/>
          <w:szCs w:val="24"/>
          <w:lang w:eastAsia="es-CO"/>
        </w:rPr>
        <w:t xml:space="preserve">En segundo lugar, se originan en los subsidios proporcionados por el Fondo Cuenta Especial de Notariado en virtud del Decreto 1672 de 1997 o la Superintendencia de Notariado y </w:t>
      </w:r>
      <w:r w:rsidRPr="00C97557">
        <w:rPr>
          <w:rFonts w:eastAsia="Times New Roman" w:cs="Times New Roman"/>
          <w:color w:val="000000"/>
          <w:szCs w:val="24"/>
          <w:lang w:eastAsia="es-CO"/>
        </w:rPr>
        <w:lastRenderedPageBreak/>
        <w:t>Registro. Estas remuneraciones solamente las captan los notarios cuyos ingresos son insuficientes para una eficiente prestación del servicio, y están tasados en consideración a los círculos y regiones, el número de escrituras y el ingreso bruto mensual promedio del año anterior (Resolución Nº 1722 de 2005).</w:t>
      </w:r>
    </w:p>
    <w:p w:rsidR="00C97557" w:rsidRPr="00C97557" w:rsidRDefault="00C97557" w:rsidP="00C97557">
      <w:pPr>
        <w:spacing w:before="100" w:beforeAutospacing="1" w:after="100" w:afterAutospacing="1" w:line="240" w:lineRule="auto"/>
        <w:jc w:val="both"/>
        <w:rPr>
          <w:rFonts w:eastAsia="Times New Roman" w:cs="Times New Roman"/>
          <w:color w:val="000000"/>
          <w:szCs w:val="24"/>
          <w:lang w:eastAsia="es-CO"/>
        </w:rPr>
      </w:pPr>
      <w:r w:rsidRPr="00C97557">
        <w:rPr>
          <w:rFonts w:eastAsia="Times New Roman" w:cs="Times New Roman"/>
          <w:color w:val="000000"/>
          <w:szCs w:val="24"/>
          <w:lang w:eastAsia="es-CO"/>
        </w:rPr>
        <w:t>En general, los dos componentes de remuneración del notario no pueden ser tomados como ingresos de un servicio puro y simple. El primero, tarifas de sus servicios al usuario, por corresponder a un especial servicio constituido por actividades de cierta complejidad que requieren de experiencia y habilidad, así como un grado suficiente de conocimiento de la ley materia de su prestación, lo cual configura un ingreso a título de honorarios.</w:t>
      </w:r>
    </w:p>
    <w:p w:rsidR="00C97557" w:rsidRPr="00C97557" w:rsidRDefault="00C97557" w:rsidP="00C97557">
      <w:pPr>
        <w:spacing w:before="100" w:beforeAutospacing="1" w:after="100" w:afterAutospacing="1" w:line="240" w:lineRule="auto"/>
        <w:jc w:val="both"/>
        <w:rPr>
          <w:rFonts w:eastAsia="Times New Roman" w:cs="Times New Roman"/>
          <w:color w:val="000000"/>
          <w:szCs w:val="24"/>
          <w:lang w:eastAsia="es-CO"/>
        </w:rPr>
      </w:pPr>
      <w:r w:rsidRPr="00C97557">
        <w:rPr>
          <w:rFonts w:eastAsia="Times New Roman" w:cs="Times New Roman"/>
          <w:color w:val="000000"/>
          <w:szCs w:val="24"/>
          <w:lang w:eastAsia="es-CO"/>
        </w:rPr>
        <w:t>El segundo, subsidio del Fondo Especial, habida cuenta que es una remuneración en dinero en contraprestación por cumplir idéntica prestación del servicio, el mismo igualmente se enmarca dentro del concepto de honorarios, pues como lo refiere la Resolución Nº 1722 de 2005 de la Superintendencia de Notariado y Registro, va dirigido a aquellos notarios cuyos ingresos no son lo suficientemente rentables como para costear y mantener adecuadamente la prestación. del servicio especializado; tal remuneración corresponde entonces a la prestación de un servicio que por sus especiales características corresponde a una labor en la cual prima el factor intelectual sobre el puramente manual o material; el que su remuneración se realice a través de subvenciones, calculadas entre otras cosas, por el número de escrituras y el ingreso bruto mensual promedio del año anterior, en modo alguno lo priva fiscalmente de la connotación de ingreso susceptible de capitalizarse y por lo mismo de producir un incremente neto del patrimonio, sujeto, claro está, a la depuración normal de los ingresos prevista en el artículo 26 del E. T.</w:t>
      </w:r>
    </w:p>
    <w:p w:rsidR="00C97557" w:rsidRPr="00C97557" w:rsidRDefault="00C97557" w:rsidP="00C97557">
      <w:pPr>
        <w:spacing w:before="100" w:beforeAutospacing="1" w:after="100" w:afterAutospacing="1" w:line="240" w:lineRule="auto"/>
        <w:jc w:val="both"/>
        <w:rPr>
          <w:rFonts w:eastAsia="Times New Roman" w:cs="Times New Roman"/>
          <w:color w:val="000000"/>
          <w:szCs w:val="24"/>
          <w:lang w:eastAsia="es-CO"/>
        </w:rPr>
      </w:pPr>
      <w:r w:rsidRPr="00C97557">
        <w:rPr>
          <w:rFonts w:eastAsia="Times New Roman" w:cs="Times New Roman"/>
          <w:color w:val="000000"/>
          <w:szCs w:val="24"/>
          <w:lang w:eastAsia="es-CO"/>
        </w:rPr>
        <w:t>Es evidente que los conocimientos enunciados son necesarios para la prestación de los servicios del notario, toda vez que en el artículo 4 de la Ley 588 de 2000 que regula el acceso al cargo ordena “valorar especialmente la experiencia de los candidatos, así como la capacidad demostrada en actividades relacionadas con el servicio notarial antigüedad en el mismo, capacitación y adiestramiento que hubieren recibido en materias propias del notariado, obras de investigación y divulgación, estudios de postgrado y estudios de especialización o diplomados, particularmente los relacionados con el notariado, así como el ejercicio de la cátedra universitaria y la participación – y desempeño en funciones de orden legislativo, gubernativo y judicial.” (Se subraya)</w:t>
      </w:r>
    </w:p>
    <w:p w:rsidR="00C97557" w:rsidRPr="00C97557" w:rsidRDefault="00C97557" w:rsidP="00C97557">
      <w:pPr>
        <w:spacing w:before="100" w:beforeAutospacing="1" w:after="100" w:afterAutospacing="1" w:line="240" w:lineRule="auto"/>
        <w:jc w:val="both"/>
        <w:rPr>
          <w:rFonts w:eastAsia="Times New Roman" w:cs="Times New Roman"/>
          <w:color w:val="000000"/>
          <w:szCs w:val="24"/>
          <w:lang w:eastAsia="es-CO"/>
        </w:rPr>
      </w:pPr>
      <w:r w:rsidRPr="00C97557">
        <w:rPr>
          <w:rFonts w:eastAsia="Times New Roman" w:cs="Times New Roman"/>
          <w:color w:val="000000"/>
          <w:szCs w:val="24"/>
          <w:lang w:eastAsia="es-CO"/>
        </w:rPr>
        <w:t>Además de loa anterior, en la mayor parte de su prestación es indispensable el despliegue de aportes de tipo intelectual para dar precisión y claridad a los documentos que se tramitan bajo su control.</w:t>
      </w:r>
    </w:p>
    <w:p w:rsidR="00C97557" w:rsidRPr="00C97557" w:rsidRDefault="00C97557" w:rsidP="00C97557">
      <w:pPr>
        <w:spacing w:before="100" w:beforeAutospacing="1" w:after="100" w:afterAutospacing="1" w:line="240" w:lineRule="auto"/>
        <w:jc w:val="both"/>
        <w:rPr>
          <w:rFonts w:eastAsia="Times New Roman" w:cs="Times New Roman"/>
          <w:color w:val="000000"/>
          <w:szCs w:val="24"/>
          <w:lang w:eastAsia="es-CO"/>
        </w:rPr>
      </w:pPr>
      <w:r w:rsidRPr="00C97557">
        <w:rPr>
          <w:rFonts w:eastAsia="Times New Roman" w:cs="Times New Roman"/>
          <w:color w:val="000000"/>
          <w:szCs w:val="24"/>
          <w:lang w:eastAsia="es-CO"/>
        </w:rPr>
        <w:t xml:space="preserve">De otra parte, es indudable que la prestación del servicio notarial, definido en las funciones de que trata el artículo 3º de la Ley 960 de 1970, tiene entre otras exigencias al notario, el conocimiento de las leyes respecto a las cuales se extienden y autorizan documentos, por lo </w:t>
      </w:r>
      <w:proofErr w:type="gramStart"/>
      <w:r w:rsidRPr="00C97557">
        <w:rPr>
          <w:rFonts w:eastAsia="Times New Roman" w:cs="Times New Roman"/>
          <w:color w:val="000000"/>
          <w:szCs w:val="24"/>
          <w:lang w:eastAsia="es-CO"/>
        </w:rPr>
        <w:t>que</w:t>
      </w:r>
      <w:proofErr w:type="gramEnd"/>
      <w:r w:rsidRPr="00C97557">
        <w:rPr>
          <w:rFonts w:eastAsia="Times New Roman" w:cs="Times New Roman"/>
          <w:color w:val="000000"/>
          <w:szCs w:val="24"/>
          <w:lang w:eastAsia="es-CO"/>
        </w:rPr>
        <w:t xml:space="preserve"> para intervenir en el otorgamiento, extensión y autorización de ciertos documentos, es indispensable que el notario despliegue aportes intelectuales y de conocimientos específicos sobre el tema.</w:t>
      </w:r>
    </w:p>
    <w:p w:rsidR="00C97557" w:rsidRPr="00C97557" w:rsidRDefault="00C97557" w:rsidP="00C97557">
      <w:pPr>
        <w:spacing w:before="100" w:beforeAutospacing="1" w:after="100" w:afterAutospacing="1" w:line="240" w:lineRule="auto"/>
        <w:jc w:val="both"/>
        <w:rPr>
          <w:rFonts w:eastAsia="Times New Roman" w:cs="Times New Roman"/>
          <w:color w:val="000000"/>
          <w:szCs w:val="24"/>
          <w:lang w:eastAsia="es-CO"/>
        </w:rPr>
      </w:pPr>
      <w:r w:rsidRPr="00C97557">
        <w:rPr>
          <w:rFonts w:eastAsia="Times New Roman" w:cs="Times New Roman"/>
          <w:color w:val="000000"/>
          <w:szCs w:val="24"/>
          <w:lang w:eastAsia="es-CO"/>
        </w:rPr>
        <w:lastRenderedPageBreak/>
        <w:t>Lo expuesto permite precisar que la retribución por la actividad del notario se enmarca bajo el concepto de honorarios, los que tiene estipulada una tarifa del 11% cuando los ingresos superan en el año la suma definida por el gobierno para ser catalogado como declarante de renta (para el año 2006 es $66.888.000) o del 10% si son inferiores a dicho límite, de conformidad con el artículo 1 del Decreto 4715 de 2005.</w:t>
      </w:r>
    </w:p>
    <w:p w:rsidR="00C97557" w:rsidRPr="00C97557" w:rsidRDefault="00C97557" w:rsidP="00C97557">
      <w:pPr>
        <w:spacing w:before="100" w:beforeAutospacing="1" w:after="100" w:afterAutospacing="1" w:line="240" w:lineRule="auto"/>
        <w:jc w:val="both"/>
        <w:rPr>
          <w:rFonts w:eastAsia="Times New Roman" w:cs="Times New Roman"/>
          <w:color w:val="000000"/>
          <w:szCs w:val="24"/>
          <w:lang w:eastAsia="es-CO"/>
        </w:rPr>
      </w:pPr>
      <w:r w:rsidRPr="00C97557">
        <w:rPr>
          <w:rFonts w:eastAsia="Times New Roman" w:cs="Times New Roman"/>
          <w:color w:val="000000"/>
          <w:szCs w:val="24"/>
          <w:lang w:eastAsia="es-CO"/>
        </w:rPr>
        <w:t>Atentamente,</w:t>
      </w:r>
    </w:p>
    <w:p w:rsidR="00C97557" w:rsidRPr="00C97557" w:rsidRDefault="00C97557" w:rsidP="00C97557">
      <w:pPr>
        <w:spacing w:before="100" w:beforeAutospacing="1" w:after="100" w:afterAutospacing="1" w:line="240" w:lineRule="auto"/>
        <w:jc w:val="both"/>
        <w:rPr>
          <w:rFonts w:eastAsia="Times New Roman" w:cs="Times New Roman"/>
          <w:color w:val="000000"/>
          <w:szCs w:val="24"/>
          <w:lang w:eastAsia="es-CO"/>
        </w:rPr>
      </w:pPr>
      <w:r w:rsidRPr="00C97557">
        <w:rPr>
          <w:rFonts w:eastAsia="Times New Roman" w:cs="Times New Roman"/>
          <w:color w:val="000000"/>
          <w:szCs w:val="24"/>
          <w:lang w:eastAsia="es-CO"/>
        </w:rPr>
        <w:t>CARLOS CERON SALAMANCA</w:t>
      </w:r>
    </w:p>
    <w:p w:rsidR="00C97557" w:rsidRPr="00C97557" w:rsidRDefault="00C97557" w:rsidP="00C97557">
      <w:pPr>
        <w:spacing w:before="100" w:beforeAutospacing="1" w:after="100" w:afterAutospacing="1" w:line="240" w:lineRule="auto"/>
        <w:jc w:val="both"/>
        <w:rPr>
          <w:rFonts w:eastAsia="Times New Roman" w:cs="Times New Roman"/>
          <w:color w:val="000000"/>
          <w:szCs w:val="24"/>
          <w:lang w:eastAsia="es-CO"/>
        </w:rPr>
      </w:pPr>
      <w:r w:rsidRPr="00C97557">
        <w:rPr>
          <w:rFonts w:eastAsia="Times New Roman" w:cs="Times New Roman"/>
          <w:color w:val="000000"/>
          <w:szCs w:val="24"/>
          <w:lang w:eastAsia="es-CO"/>
        </w:rPr>
        <w:t>Delegado División de Normativa y Doctrina Tributaria</w:t>
      </w:r>
    </w:p>
    <w:p w:rsidR="00730617" w:rsidRPr="00C97557" w:rsidRDefault="00C97557" w:rsidP="00C97557">
      <w:pPr>
        <w:jc w:val="both"/>
        <w:rPr>
          <w:rFonts w:cs="Times New Roman"/>
          <w:szCs w:val="24"/>
        </w:rPr>
      </w:pPr>
      <w:r w:rsidRPr="00C97557">
        <w:rPr>
          <w:rFonts w:cs="Times New Roman"/>
          <w:szCs w:val="24"/>
        </w:rPr>
        <w:t>_________________________________________________________________________</w:t>
      </w:r>
    </w:p>
    <w:sectPr w:rsidR="00730617" w:rsidRPr="00C97557" w:rsidSect="00C97557">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557"/>
    <w:rsid w:val="00730617"/>
    <w:rsid w:val="00C975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46570"/>
  <w15:chartTrackingRefBased/>
  <w15:docId w15:val="{B513B08C-6FB9-4052-A28E-09C5B111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0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882</Words>
  <Characters>4852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2019-02-26T21:33:00Z</dcterms:created>
  <dcterms:modified xsi:type="dcterms:W3CDTF">2019-02-26T21:37:00Z</dcterms:modified>
</cp:coreProperties>
</file>