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DBE11" w14:textId="77777777" w:rsidR="00EB7E90" w:rsidRDefault="00EB7E90" w:rsidP="002E50B3">
      <w:pPr>
        <w:spacing w:before="100" w:beforeAutospacing="1" w:after="100" w:afterAutospacing="1" w:line="240" w:lineRule="auto"/>
        <w:rPr>
          <w:rFonts w:eastAsia="Times New Roman" w:cs="Times New Roman"/>
          <w:b/>
          <w:bCs/>
          <w:color w:val="000000"/>
          <w:szCs w:val="24"/>
          <w:lang w:eastAsia="es-CO"/>
        </w:rPr>
      </w:pPr>
    </w:p>
    <w:p w14:paraId="6AC1596E" w14:textId="77777777" w:rsidR="00EB7E90" w:rsidRDefault="00EB7E90" w:rsidP="00EB7E90">
      <w:pPr>
        <w:spacing w:before="100" w:beforeAutospacing="1" w:after="100" w:afterAutospacing="1" w:line="240" w:lineRule="auto"/>
        <w:jc w:val="center"/>
        <w:rPr>
          <w:rFonts w:eastAsia="Times New Roman" w:cs="Times New Roman"/>
          <w:b/>
          <w:bCs/>
          <w:color w:val="000000"/>
          <w:szCs w:val="24"/>
          <w:lang w:eastAsia="es-CO"/>
        </w:rPr>
      </w:pPr>
    </w:p>
    <w:p w14:paraId="1690C733" w14:textId="77777777" w:rsidR="00EB7E90" w:rsidRPr="00EB7E90" w:rsidRDefault="00EB7E90" w:rsidP="00EB7E90">
      <w:pPr>
        <w:spacing w:before="100" w:beforeAutospacing="1" w:after="100" w:afterAutospacing="1" w:line="240" w:lineRule="auto"/>
        <w:jc w:val="center"/>
        <w:rPr>
          <w:rFonts w:eastAsia="Times New Roman" w:cs="Times New Roman"/>
          <w:b/>
          <w:bCs/>
          <w:color w:val="000000"/>
          <w:szCs w:val="24"/>
          <w:lang w:eastAsia="es-CO"/>
        </w:rPr>
      </w:pPr>
      <w:r w:rsidRPr="00EB7E90">
        <w:rPr>
          <w:rFonts w:eastAsia="Times New Roman" w:cs="Times New Roman"/>
          <w:b/>
          <w:bCs/>
          <w:color w:val="000000"/>
          <w:szCs w:val="24"/>
          <w:lang w:eastAsia="es-CO"/>
        </w:rPr>
        <w:t>CONCEPTO 8179 DE 2019</w:t>
      </w:r>
    </w:p>
    <w:p w14:paraId="4B36BB21" w14:textId="77777777" w:rsidR="00EB7E90" w:rsidRPr="00EB7E90" w:rsidRDefault="00EB7E90" w:rsidP="00EB7E90">
      <w:pPr>
        <w:spacing w:before="100" w:beforeAutospacing="1" w:after="100" w:afterAutospacing="1" w:line="240" w:lineRule="auto"/>
        <w:rPr>
          <w:rFonts w:eastAsia="Times New Roman" w:cs="Times New Roman"/>
          <w:b/>
          <w:bCs/>
          <w:color w:val="000000"/>
          <w:szCs w:val="24"/>
          <w:lang w:eastAsia="es-CO"/>
        </w:rPr>
      </w:pPr>
    </w:p>
    <w:p w14:paraId="0DB5C565" w14:textId="77777777" w:rsidR="00EB7E90" w:rsidRPr="002E50B3" w:rsidRDefault="00EB7E90" w:rsidP="00EB7E90">
      <w:pPr>
        <w:spacing w:before="100" w:beforeAutospacing="1" w:after="100" w:afterAutospacing="1" w:line="240" w:lineRule="auto"/>
        <w:rPr>
          <w:rFonts w:eastAsia="Times New Roman" w:cs="Times New Roman"/>
          <w:b/>
          <w:bCs/>
          <w:color w:val="000000"/>
          <w:szCs w:val="24"/>
          <w:lang w:eastAsia="es-CO"/>
        </w:rPr>
      </w:pPr>
      <w:r w:rsidRPr="002E50B3">
        <w:rPr>
          <w:rFonts w:eastAsia="Times New Roman" w:cs="Times New Roman"/>
          <w:b/>
          <w:bCs/>
          <w:color w:val="000000"/>
          <w:szCs w:val="24"/>
          <w:lang w:eastAsia="es-CO"/>
        </w:rPr>
        <w:t>Tema:                               Procedimiento Tributario</w:t>
      </w:r>
    </w:p>
    <w:p w14:paraId="11627675" w14:textId="77777777" w:rsidR="00EB7E90" w:rsidRPr="002E50B3" w:rsidRDefault="00EB7E90" w:rsidP="00EB7E90">
      <w:pPr>
        <w:spacing w:before="100" w:beforeAutospacing="1" w:after="100" w:afterAutospacing="1" w:line="240" w:lineRule="auto"/>
        <w:rPr>
          <w:rFonts w:eastAsia="Times New Roman" w:cs="Times New Roman"/>
          <w:b/>
          <w:bCs/>
          <w:color w:val="000000"/>
          <w:szCs w:val="24"/>
          <w:lang w:eastAsia="es-CO"/>
        </w:rPr>
      </w:pPr>
      <w:r w:rsidRPr="002E50B3">
        <w:rPr>
          <w:rFonts w:eastAsia="Times New Roman" w:cs="Times New Roman"/>
          <w:b/>
          <w:bCs/>
          <w:color w:val="000000"/>
          <w:szCs w:val="24"/>
          <w:lang w:eastAsia="es-CO"/>
        </w:rPr>
        <w:t>Descriptores:                    Medios de Pago para la Aceptación de Costos, Deducciones, Pasivos e Impuestos Descontables</w:t>
      </w:r>
    </w:p>
    <w:p w14:paraId="096713EA"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b/>
          <w:bCs/>
          <w:color w:val="000000"/>
          <w:szCs w:val="24"/>
          <w:lang w:eastAsia="es-CO"/>
        </w:rPr>
        <w:t>Fuentes formales: </w:t>
      </w:r>
      <w:r w:rsidRPr="00EB7E90">
        <w:rPr>
          <w:rFonts w:eastAsia="Times New Roman" w:cs="Times New Roman"/>
          <w:color w:val="000000"/>
          <w:szCs w:val="24"/>
          <w:lang w:eastAsia="es-CO"/>
        </w:rPr>
        <w:t xml:space="preserve">             Estatuto Tributario – Artículo 771-5 Estatuto Tributario – </w:t>
      </w:r>
      <w:r w:rsidRPr="002E50B3">
        <w:rPr>
          <w:rFonts w:eastAsia="Times New Roman" w:cs="Times New Roman"/>
          <w:color w:val="000000"/>
          <w:szCs w:val="24"/>
          <w:highlight w:val="green"/>
          <w:lang w:eastAsia="es-CO"/>
        </w:rPr>
        <w:t>Artículo 107 Código Civil – Artículo 1625 Código Civil – Artículo 1630</w:t>
      </w:r>
      <w:r w:rsidRPr="00EB7E90">
        <w:rPr>
          <w:rFonts w:eastAsia="Times New Roman" w:cs="Times New Roman"/>
          <w:color w:val="000000"/>
          <w:szCs w:val="24"/>
          <w:lang w:eastAsia="es-CO"/>
        </w:rPr>
        <w:t> </w:t>
      </w:r>
    </w:p>
    <w:p w14:paraId="5273AE54"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 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 </w:t>
      </w:r>
    </w:p>
    <w:p w14:paraId="3AF3C0CE"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 </w:t>
      </w:r>
    </w:p>
    <w:p w14:paraId="34387514"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w:t>
      </w:r>
      <w:r w:rsidRPr="00EB7E90">
        <w:rPr>
          <w:rFonts w:eastAsia="Times New Roman" w:cs="Times New Roman"/>
          <w:i/>
          <w:iCs/>
          <w:color w:val="000000"/>
          <w:szCs w:val="24"/>
          <w:lang w:eastAsia="es-CO"/>
        </w:rPr>
        <w:t>y/o </w:t>
      </w:r>
      <w:r w:rsidRPr="00EB7E90">
        <w:rPr>
          <w:rFonts w:eastAsia="Times New Roman" w:cs="Times New Roman"/>
          <w:color w:val="000000"/>
          <w:szCs w:val="24"/>
          <w:lang w:eastAsia="es-CO"/>
        </w:rPr>
        <w:t>privadas en el desarrollo de sus actividades, funciones </w:t>
      </w:r>
      <w:r w:rsidRPr="00EB7E90">
        <w:rPr>
          <w:rFonts w:eastAsia="Times New Roman" w:cs="Times New Roman"/>
          <w:i/>
          <w:iCs/>
          <w:color w:val="000000"/>
          <w:szCs w:val="24"/>
          <w:lang w:eastAsia="es-CO"/>
        </w:rPr>
        <w:t>y </w:t>
      </w:r>
      <w:r w:rsidRPr="00EB7E90">
        <w:rPr>
          <w:rFonts w:eastAsia="Times New Roman" w:cs="Times New Roman"/>
          <w:color w:val="000000"/>
          <w:szCs w:val="24"/>
          <w:lang w:eastAsia="es-CO"/>
        </w:rPr>
        <w:t>competencias. </w:t>
      </w:r>
    </w:p>
    <w:p w14:paraId="74F05CB9"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Mediante escrito radicado 100012519 del 23 de febrero de 2019 esta Subdirección recibió una consulta por medio de la cual se solicita resolver la siguiente inquietud, en concordancia con el artículo 771–5 del Estatuto Tributario: </w:t>
      </w:r>
    </w:p>
    <w:p w14:paraId="44222AF4" w14:textId="77777777" w:rsidR="00EB7E90" w:rsidRPr="002E50B3" w:rsidRDefault="00CF29A8" w:rsidP="00CF29A8">
      <w:pPr>
        <w:spacing w:before="100" w:beforeAutospacing="1" w:after="100" w:afterAutospacing="1" w:line="240" w:lineRule="auto"/>
        <w:rPr>
          <w:rFonts w:eastAsia="Times New Roman" w:cs="Times New Roman"/>
          <w:color w:val="000000"/>
          <w:sz w:val="28"/>
          <w:szCs w:val="28"/>
          <w:lang w:eastAsia="es-CO"/>
        </w:rPr>
      </w:pPr>
      <w:r w:rsidRPr="002E50B3">
        <w:rPr>
          <w:rFonts w:eastAsia="Times New Roman" w:cs="Times New Roman"/>
          <w:b/>
          <w:bCs/>
          <w:color w:val="000000"/>
          <w:sz w:val="28"/>
          <w:szCs w:val="28"/>
          <w:highlight w:val="green"/>
          <w:lang w:eastAsia="es-CO"/>
        </w:rPr>
        <w:t>1.</w:t>
      </w:r>
      <w:r w:rsidRPr="002E50B3">
        <w:rPr>
          <w:rFonts w:eastAsia="Times New Roman" w:cs="Times New Roman"/>
          <w:i/>
          <w:iCs/>
          <w:color w:val="000000"/>
          <w:sz w:val="28"/>
          <w:szCs w:val="28"/>
          <w:highlight w:val="green"/>
          <w:lang w:eastAsia="es-CO"/>
        </w:rPr>
        <w:t xml:space="preserve"> ¿</w:t>
      </w:r>
      <w:r w:rsidR="00EB7E90" w:rsidRPr="002E50B3">
        <w:rPr>
          <w:rFonts w:eastAsia="Times New Roman" w:cs="Times New Roman"/>
          <w:i/>
          <w:iCs/>
          <w:color w:val="000000"/>
          <w:sz w:val="28"/>
          <w:szCs w:val="28"/>
          <w:highlight w:val="green"/>
          <w:lang w:eastAsia="es-CO"/>
        </w:rPr>
        <w:t>Son viables para efectos del reconocimiento fiscal de costos, deducciones, pasivos o impuestos descontables, aquellos pagos que se realizan a un tercero con autorización del primer beneficiario? ¡En atención a la consulta, se procede a analizar las! siguientes consideraciones tributarias:</w:t>
      </w:r>
      <w:r w:rsidR="00EB7E90" w:rsidRPr="002E50B3">
        <w:rPr>
          <w:rFonts w:eastAsia="Times New Roman" w:cs="Times New Roman"/>
          <w:i/>
          <w:iCs/>
          <w:color w:val="000000"/>
          <w:sz w:val="28"/>
          <w:szCs w:val="28"/>
          <w:lang w:eastAsia="es-CO"/>
        </w:rPr>
        <w:t> </w:t>
      </w:r>
    </w:p>
    <w:p w14:paraId="2BDE8755" w14:textId="580396E8" w:rsidR="002E50B3" w:rsidRPr="002E50B3" w:rsidRDefault="00EB7E90" w:rsidP="002E50B3">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b/>
          <w:bCs/>
          <w:color w:val="000000"/>
          <w:szCs w:val="24"/>
          <w:lang w:eastAsia="es-CO"/>
        </w:rPr>
        <w:t>1. Aceptación de costos, deducciones, pasivos e impuestos descontables cuando el pago se realiza a un tercero con autorización del primer beneficiario</w:t>
      </w:r>
      <w:r w:rsidR="002E50B3">
        <w:rPr>
          <w:rFonts w:eastAsia="Times New Roman" w:cs="Times New Roman"/>
          <w:b/>
          <w:bCs/>
          <w:color w:val="000000"/>
          <w:szCs w:val="24"/>
          <w:lang w:eastAsia="es-CO"/>
        </w:rPr>
        <w:t>:</w:t>
      </w:r>
      <w:r w:rsidRPr="00EB7E90">
        <w:rPr>
          <w:rFonts w:eastAsia="Times New Roman" w:cs="Times New Roman"/>
          <w:b/>
          <w:bCs/>
          <w:color w:val="000000"/>
          <w:szCs w:val="24"/>
          <w:lang w:eastAsia="es-CO"/>
        </w:rPr>
        <w:t> </w:t>
      </w:r>
    </w:p>
    <w:p w14:paraId="34C0E671" w14:textId="48417D6D" w:rsidR="002E50B3" w:rsidRPr="002E50B3" w:rsidRDefault="002E50B3" w:rsidP="002E50B3">
      <w:pPr>
        <w:spacing w:before="100" w:beforeAutospacing="1" w:after="100" w:afterAutospacing="1" w:line="240" w:lineRule="auto"/>
        <w:rPr>
          <w:rFonts w:eastAsia="Times New Roman" w:cs="Times New Roman"/>
          <w:color w:val="000000"/>
          <w:sz w:val="28"/>
          <w:szCs w:val="28"/>
          <w:u w:val="single"/>
          <w:lang w:eastAsia="es-CO"/>
        </w:rPr>
      </w:pPr>
      <w:r w:rsidRPr="002E50B3">
        <w:rPr>
          <w:rFonts w:eastAsia="Times New Roman" w:cs="Times New Roman"/>
          <w:color w:val="000000"/>
          <w:sz w:val="28"/>
          <w:szCs w:val="28"/>
          <w:highlight w:val="green"/>
          <w:lang w:eastAsia="es-CO"/>
        </w:rPr>
        <w:t xml:space="preserve">1.1.1 </w:t>
      </w:r>
      <w:r w:rsidRPr="002E50B3">
        <w:rPr>
          <w:rFonts w:eastAsia="Times New Roman" w:cs="Times New Roman"/>
          <w:color w:val="000000"/>
          <w:sz w:val="28"/>
          <w:szCs w:val="28"/>
          <w:highlight w:val="green"/>
          <w:u w:val="single"/>
          <w:lang w:eastAsia="es-CO"/>
        </w:rPr>
        <w:t>Sobre el particular, este despacho concluye que el pago a un tercero con autorización del primer beneficiario, podrá ser reconocido fiscalmente como costo, deducción, pasivo o impuesto descontable; en tanto</w:t>
      </w:r>
      <w:r w:rsidRPr="002E50B3">
        <w:rPr>
          <w:rFonts w:eastAsia="Times New Roman" w:cs="Times New Roman"/>
          <w:color w:val="000000"/>
          <w:sz w:val="28"/>
          <w:szCs w:val="28"/>
          <w:highlight w:val="green"/>
          <w:u w:val="single"/>
          <w:lang w:eastAsia="es-CO"/>
        </w:rPr>
        <w:t xml:space="preserve"> </w:t>
      </w:r>
      <w:r w:rsidRPr="002E50B3">
        <w:rPr>
          <w:rFonts w:eastAsia="Times New Roman" w:cs="Times New Roman"/>
          <w:color w:val="000000"/>
          <w:sz w:val="28"/>
          <w:szCs w:val="28"/>
          <w:highlight w:val="green"/>
          <w:u w:val="single"/>
          <w:lang w:eastAsia="es-CO"/>
        </w:rPr>
        <w:t>se utilicen los canales bancarios</w:t>
      </w:r>
      <w:r w:rsidRPr="002E50B3">
        <w:rPr>
          <w:rFonts w:eastAsia="Times New Roman" w:cs="Times New Roman"/>
          <w:color w:val="000000"/>
          <w:sz w:val="28"/>
          <w:szCs w:val="28"/>
          <w:highlight w:val="green"/>
          <w:u w:val="single"/>
          <w:lang w:eastAsia="es-CO"/>
        </w:rPr>
        <w:t xml:space="preserve"> </w:t>
      </w:r>
      <w:r w:rsidRPr="002E50B3">
        <w:rPr>
          <w:rFonts w:eastAsia="Times New Roman" w:cs="Times New Roman"/>
          <w:color w:val="000000"/>
          <w:sz w:val="28"/>
          <w:szCs w:val="28"/>
          <w:highlight w:val="green"/>
          <w:u w:val="single"/>
          <w:lang w:eastAsia="es-CO"/>
        </w:rPr>
        <w:t>mencionados en el artículo771del Estatuto Tributario («</w:t>
      </w:r>
      <w:proofErr w:type="gramStart"/>
      <w:r w:rsidRPr="002E50B3">
        <w:rPr>
          <w:rFonts w:eastAsia="Times New Roman" w:cs="Times New Roman"/>
          <w:color w:val="000000"/>
          <w:sz w:val="28"/>
          <w:szCs w:val="28"/>
          <w:highlight w:val="green"/>
          <w:u w:val="single"/>
          <w:lang w:eastAsia="es-CO"/>
        </w:rPr>
        <w:t>E.T.«</w:t>
      </w:r>
      <w:proofErr w:type="gramEnd"/>
      <w:r w:rsidRPr="002E50B3">
        <w:rPr>
          <w:rFonts w:eastAsia="Times New Roman" w:cs="Times New Roman"/>
          <w:color w:val="000000"/>
          <w:sz w:val="28"/>
          <w:szCs w:val="28"/>
          <w:highlight w:val="green"/>
          <w:u w:val="single"/>
          <w:lang w:eastAsia="es-CO"/>
        </w:rPr>
        <w:t>), y se cumplan los requisitos establecidos en el artículo 107 del E.T.</w:t>
      </w:r>
    </w:p>
    <w:p w14:paraId="7BF2978B" w14:textId="68FFB49D" w:rsidR="00EB7E90" w:rsidRPr="002E50B3" w:rsidRDefault="00EB7E90" w:rsidP="00CF29A8">
      <w:pPr>
        <w:spacing w:before="100" w:beforeAutospacing="1" w:after="100" w:afterAutospacing="1" w:line="240" w:lineRule="auto"/>
        <w:jc w:val="left"/>
        <w:rPr>
          <w:rFonts w:eastAsia="Times New Roman" w:cs="Times New Roman"/>
          <w:color w:val="000000"/>
          <w:szCs w:val="24"/>
          <w:highlight w:val="green"/>
          <w:lang w:eastAsia="es-CO"/>
        </w:rPr>
      </w:pPr>
      <w:r w:rsidRPr="002E50B3">
        <w:rPr>
          <w:rFonts w:eastAsia="Times New Roman" w:cs="Times New Roman"/>
          <w:b/>
          <w:bCs/>
          <w:color w:val="000000"/>
          <w:szCs w:val="24"/>
          <w:highlight w:val="green"/>
          <w:lang w:eastAsia="es-CO"/>
        </w:rPr>
        <w:t>1.1.2 </w:t>
      </w:r>
      <w:r w:rsidRPr="002E50B3">
        <w:rPr>
          <w:rFonts w:eastAsia="Times New Roman" w:cs="Times New Roman"/>
          <w:color w:val="000000"/>
          <w:szCs w:val="24"/>
          <w:highlight w:val="green"/>
          <w:lang w:eastAsia="es-CO"/>
        </w:rPr>
        <w:t>Esto, atendiendo al siguiente análisis </w:t>
      </w:r>
    </w:p>
    <w:p w14:paraId="24ACA9EE" w14:textId="77777777" w:rsidR="00EB7E90" w:rsidRPr="002E50B3" w:rsidRDefault="00EB7E90" w:rsidP="00CF29A8">
      <w:pPr>
        <w:spacing w:before="100" w:beforeAutospacing="1" w:after="100" w:afterAutospacing="1" w:line="240" w:lineRule="auto"/>
        <w:rPr>
          <w:rFonts w:eastAsia="Times New Roman" w:cs="Times New Roman"/>
          <w:color w:val="000000"/>
          <w:szCs w:val="24"/>
          <w:highlight w:val="green"/>
          <w:lang w:eastAsia="es-CO"/>
        </w:rPr>
      </w:pPr>
      <w:r w:rsidRPr="002E50B3">
        <w:rPr>
          <w:rFonts w:eastAsia="Times New Roman" w:cs="Times New Roman"/>
          <w:b/>
          <w:bCs/>
          <w:color w:val="000000"/>
          <w:szCs w:val="24"/>
          <w:highlight w:val="green"/>
          <w:lang w:eastAsia="es-CO"/>
        </w:rPr>
        <w:t>1.1.3 </w:t>
      </w:r>
      <w:r w:rsidRPr="002E50B3">
        <w:rPr>
          <w:rFonts w:eastAsia="Times New Roman" w:cs="Times New Roman"/>
          <w:color w:val="000000"/>
          <w:szCs w:val="24"/>
          <w:highlight w:val="green"/>
          <w:lang w:eastAsia="es-CO"/>
        </w:rPr>
        <w:t>El</w:t>
      </w:r>
      <w:r w:rsidRPr="002E50B3">
        <w:rPr>
          <w:rFonts w:eastAsia="Times New Roman" w:cs="Times New Roman"/>
          <w:b/>
          <w:bCs/>
          <w:color w:val="000000"/>
          <w:szCs w:val="24"/>
          <w:highlight w:val="green"/>
          <w:lang w:eastAsia="es-CO"/>
        </w:rPr>
        <w:t> </w:t>
      </w:r>
      <w:r w:rsidRPr="002E50B3">
        <w:rPr>
          <w:rFonts w:eastAsia="Times New Roman" w:cs="Times New Roman"/>
          <w:color w:val="000000"/>
          <w:szCs w:val="24"/>
          <w:highlight w:val="green"/>
          <w:lang w:eastAsia="es-CO"/>
        </w:rPr>
        <w:t xml:space="preserve">artículo 771–5 del E.T. determina los medios de pago para efectos de la aceptación de costos, deducciones, pasivos e impuestos descontables. Al respecto, la Corte Constitucional, mediante sentencias C-249 del 24 de abril de 2013, C-264 del 8 de mayo de </w:t>
      </w:r>
      <w:r w:rsidRPr="002E50B3">
        <w:rPr>
          <w:rFonts w:eastAsia="Times New Roman" w:cs="Times New Roman"/>
          <w:color w:val="000000"/>
          <w:szCs w:val="24"/>
          <w:highlight w:val="green"/>
          <w:lang w:eastAsia="es-CO"/>
        </w:rPr>
        <w:lastRenderedPageBreak/>
        <w:t>2013 y más recientemente este despacho, a través del Concepto 024531 del 15 de abril de 2014, concluyen que el propósito plasmado por el legislador en este artículo es:</w:t>
      </w:r>
    </w:p>
    <w:p w14:paraId="0EFFE1CF"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2E50B3">
        <w:rPr>
          <w:rFonts w:eastAsia="Times New Roman" w:cs="Times New Roman"/>
          <w:i/>
          <w:iCs/>
          <w:color w:val="000000"/>
          <w:szCs w:val="24"/>
          <w:highlight w:val="green"/>
          <w:lang w:eastAsia="es-CO"/>
        </w:rPr>
        <w:t>«(…) Generar mecanismos de control efectivos a través de la utilización de canales bancarios con el fin de asegurar mayor transparencia en las transacciones, evitar la evasión y el fraude, mejorar la recaudación y promover la eficiencia del sistema tributario…</w:t>
      </w:r>
      <w:r w:rsidRPr="00EB7E90">
        <w:rPr>
          <w:rFonts w:eastAsia="Times New Roman" w:cs="Times New Roman"/>
          <w:i/>
          <w:iCs/>
          <w:color w:val="000000"/>
          <w:szCs w:val="24"/>
          <w:lang w:eastAsia="es-CO"/>
        </w:rPr>
        <w:t> </w:t>
      </w:r>
    </w:p>
    <w:p w14:paraId="09868D95" w14:textId="77777777" w:rsidR="00EB7E90" w:rsidRPr="00EB7E90" w:rsidRDefault="00EB7E90" w:rsidP="00CF29A8">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b/>
          <w:bCs/>
          <w:color w:val="000000"/>
          <w:szCs w:val="24"/>
          <w:lang w:eastAsia="es-CO"/>
        </w:rPr>
        <w:t>1.1.3 </w:t>
      </w:r>
      <w:r w:rsidRPr="00EB7E90">
        <w:rPr>
          <w:rFonts w:eastAsia="Times New Roman" w:cs="Times New Roman"/>
          <w:color w:val="000000"/>
          <w:szCs w:val="24"/>
          <w:lang w:eastAsia="es-CO"/>
        </w:rPr>
        <w:t>En estos términos, el pago a través de canales bancarios que realiza un tercero, resulta viable para efectos del artículo en mención; especialmente, cuando de este se infiere que dicho pago extingue la obligación a cargo del contribuyente del impuesto sobre la renta, es decir, el primer beneficiario, al señalar que: </w:t>
      </w:r>
    </w:p>
    <w:p w14:paraId="09F23645"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i/>
          <w:iCs/>
          <w:color w:val="000000"/>
          <w:szCs w:val="24"/>
          <w:lang w:eastAsia="es-CO"/>
        </w:rPr>
        <w:t>«Para efectos de su reconocimiento fiscal como </w:t>
      </w:r>
      <w:r w:rsidRPr="00EB7E90">
        <w:rPr>
          <w:rFonts w:eastAsia="Times New Roman" w:cs="Times New Roman"/>
          <w:color w:val="000000"/>
          <w:szCs w:val="24"/>
          <w:lang w:eastAsia="es-CO"/>
        </w:rPr>
        <w:t>c</w:t>
      </w:r>
      <w:r w:rsidRPr="00EB7E90">
        <w:rPr>
          <w:rFonts w:eastAsia="Times New Roman" w:cs="Times New Roman"/>
          <w:i/>
          <w:iCs/>
          <w:color w:val="000000"/>
          <w:szCs w:val="24"/>
          <w:lang w:eastAsia="es-CO"/>
        </w:rPr>
        <w:t>ostos, deduccione</w:t>
      </w:r>
      <w:r w:rsidRPr="00EB7E90">
        <w:rPr>
          <w:rFonts w:eastAsia="Times New Roman" w:cs="Times New Roman"/>
          <w:color w:val="000000"/>
          <w:szCs w:val="24"/>
          <w:lang w:eastAsia="es-CO"/>
        </w:rPr>
        <w:t>s, </w:t>
      </w:r>
      <w:r w:rsidRPr="00EB7E90">
        <w:rPr>
          <w:rFonts w:eastAsia="Times New Roman" w:cs="Times New Roman"/>
          <w:i/>
          <w:iCs/>
          <w:color w:val="000000"/>
          <w:szCs w:val="24"/>
          <w:lang w:eastAsia="es-CO"/>
        </w:rPr>
        <w:t>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 tarjetas débito u otro tipo de tarjetas o bonos que sirvan como medios de pago en la forma </w:t>
      </w:r>
      <w:r w:rsidRPr="00EB7E90">
        <w:rPr>
          <w:rFonts w:eastAsia="Times New Roman" w:cs="Times New Roman"/>
          <w:color w:val="000000"/>
          <w:szCs w:val="24"/>
          <w:lang w:eastAsia="es-CO"/>
        </w:rPr>
        <w:t>y </w:t>
      </w:r>
      <w:r w:rsidRPr="00EB7E90">
        <w:rPr>
          <w:rFonts w:eastAsia="Times New Roman" w:cs="Times New Roman"/>
          <w:i/>
          <w:iCs/>
          <w:color w:val="000000"/>
          <w:szCs w:val="24"/>
          <w:lang w:eastAsia="es-CO"/>
        </w:rPr>
        <w:t>condiciones que autorice el Gobierno Nacional.</w:t>
      </w:r>
      <w:r w:rsidRPr="00EB7E90">
        <w:rPr>
          <w:rFonts w:eastAsia="Times New Roman" w:cs="Times New Roman"/>
          <w:color w:val="000000"/>
          <w:szCs w:val="24"/>
          <w:lang w:eastAsia="es-CO"/>
        </w:rPr>
        <w:t> </w:t>
      </w:r>
    </w:p>
    <w:p w14:paraId="2C189DD4"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i/>
          <w:iCs/>
          <w:color w:val="000000"/>
          <w:szCs w:val="24"/>
          <w:lang w:eastAsia="es-CO"/>
        </w:rPr>
        <w:t>Lo dispuesto en el pre</w:t>
      </w:r>
      <w:r w:rsidRPr="00EB7E90">
        <w:rPr>
          <w:rFonts w:eastAsia="Times New Roman" w:cs="Times New Roman"/>
          <w:color w:val="000000"/>
          <w:szCs w:val="24"/>
          <w:lang w:eastAsia="es-CO"/>
        </w:rPr>
        <w:t>s</w:t>
      </w:r>
      <w:r w:rsidRPr="00EB7E90">
        <w:rPr>
          <w:rFonts w:eastAsia="Times New Roman" w:cs="Times New Roman"/>
          <w:i/>
          <w:iCs/>
          <w:color w:val="000000"/>
          <w:szCs w:val="24"/>
          <w:lang w:eastAsia="es-CO"/>
        </w:rPr>
        <w:t>ente artículo no impide el reconocimiento fiscal de los pa</w:t>
      </w:r>
      <w:r w:rsidRPr="00EB7E90">
        <w:rPr>
          <w:rFonts w:eastAsia="Times New Roman" w:cs="Times New Roman"/>
          <w:color w:val="000000"/>
          <w:szCs w:val="24"/>
          <w:lang w:eastAsia="es-CO"/>
        </w:rPr>
        <w:t>g</w:t>
      </w:r>
      <w:r w:rsidRPr="00EB7E90">
        <w:rPr>
          <w:rFonts w:eastAsia="Times New Roman" w:cs="Times New Roman"/>
          <w:i/>
          <w:iCs/>
          <w:color w:val="000000"/>
          <w:szCs w:val="24"/>
          <w:lang w:eastAsia="es-CO"/>
        </w:rPr>
        <w:t>os en e</w:t>
      </w:r>
      <w:r w:rsidR="00CF29A8">
        <w:rPr>
          <w:rFonts w:eastAsia="Times New Roman" w:cs="Times New Roman"/>
          <w:i/>
          <w:iCs/>
          <w:color w:val="000000"/>
          <w:szCs w:val="24"/>
          <w:lang w:eastAsia="es-CO"/>
        </w:rPr>
        <w:t>specie ni la utilización de los</w:t>
      </w:r>
      <w:r w:rsidRPr="00EB7E90">
        <w:rPr>
          <w:rFonts w:eastAsia="Times New Roman" w:cs="Times New Roman"/>
          <w:i/>
          <w:iCs/>
          <w:color w:val="000000"/>
          <w:szCs w:val="24"/>
          <w:lang w:eastAsia="es-CO"/>
        </w:rPr>
        <w:t>demás modos de extinción de las obligaciones distintos al pago, previstos en el artículo 16</w:t>
      </w:r>
      <w:r w:rsidRPr="00EB7E90">
        <w:rPr>
          <w:rFonts w:eastAsia="Times New Roman" w:cs="Times New Roman"/>
          <w:color w:val="000000"/>
          <w:szCs w:val="24"/>
          <w:lang w:eastAsia="es-CO"/>
        </w:rPr>
        <w:t>2</w:t>
      </w:r>
      <w:r w:rsidRPr="00EB7E90">
        <w:rPr>
          <w:rFonts w:eastAsia="Times New Roman" w:cs="Times New Roman"/>
          <w:i/>
          <w:iCs/>
          <w:color w:val="000000"/>
          <w:szCs w:val="24"/>
          <w:lang w:eastAsia="es-CO"/>
        </w:rPr>
        <w:t>5 del Código Civil y demás normas concordantes.</w:t>
      </w:r>
    </w:p>
    <w:p w14:paraId="476BA0A9" w14:textId="77777777" w:rsidR="00EB7E90" w:rsidRPr="002E50B3" w:rsidRDefault="00EB7E90" w:rsidP="00CF29A8">
      <w:pPr>
        <w:spacing w:before="100" w:beforeAutospacing="1" w:after="100" w:afterAutospacing="1" w:line="240" w:lineRule="auto"/>
        <w:rPr>
          <w:rFonts w:eastAsia="Times New Roman" w:cs="Times New Roman"/>
          <w:color w:val="000000"/>
          <w:sz w:val="32"/>
          <w:szCs w:val="32"/>
          <w:lang w:eastAsia="es-CO"/>
        </w:rPr>
      </w:pPr>
      <w:r w:rsidRPr="002E50B3">
        <w:rPr>
          <w:rFonts w:eastAsia="Times New Roman" w:cs="Times New Roman"/>
          <w:b/>
          <w:bCs/>
          <w:color w:val="000000"/>
          <w:sz w:val="32"/>
          <w:szCs w:val="32"/>
          <w:highlight w:val="green"/>
          <w:lang w:eastAsia="es-CO"/>
        </w:rPr>
        <w:t>1.1.5</w:t>
      </w:r>
      <w:r w:rsidRPr="002E50B3">
        <w:rPr>
          <w:rFonts w:eastAsia="Times New Roman" w:cs="Times New Roman"/>
          <w:b/>
          <w:bCs/>
          <w:color w:val="000000"/>
          <w:sz w:val="32"/>
          <w:szCs w:val="32"/>
          <w:highlight w:val="green"/>
          <w:u w:val="single"/>
          <w:lang w:eastAsia="es-CO"/>
        </w:rPr>
        <w:t>.</w:t>
      </w:r>
      <w:r w:rsidRPr="002E50B3">
        <w:rPr>
          <w:rFonts w:eastAsia="Times New Roman" w:cs="Times New Roman"/>
          <w:color w:val="000000"/>
          <w:sz w:val="32"/>
          <w:szCs w:val="32"/>
          <w:highlight w:val="green"/>
          <w:u w:val="single"/>
          <w:lang w:eastAsia="es-CO"/>
        </w:rPr>
        <w:t> Así mismo, esta figura se encuentra dentro de los postulados del artículo 1630 del Código Civil, sobre pagos por terceros.</w:t>
      </w:r>
      <w:r w:rsidRPr="002E50B3">
        <w:rPr>
          <w:rFonts w:eastAsia="Times New Roman" w:cs="Times New Roman"/>
          <w:color w:val="000000"/>
          <w:sz w:val="32"/>
          <w:szCs w:val="32"/>
          <w:highlight w:val="green"/>
          <w:lang w:eastAsia="es-CO"/>
        </w:rPr>
        <w:t xml:space="preserve"> En consecuencia, cumple con el objetivo perseguido por el espíritu de la norma y adicionalmente, no impide la aceptación de costos, deducciones, pasivos e impuestos que, sin perjuicio de lo señalado, estará sujeta al cumplimiento de los requisitos consignados en el artículo 107 del E.T.</w:t>
      </w:r>
    </w:p>
    <w:p w14:paraId="06FF5AA6" w14:textId="77777777" w:rsidR="00EB7E90" w:rsidRPr="002E50B3" w:rsidRDefault="00EB7E90" w:rsidP="00CF29A8">
      <w:pPr>
        <w:spacing w:before="100" w:beforeAutospacing="1" w:after="100" w:afterAutospacing="1" w:line="240" w:lineRule="auto"/>
        <w:rPr>
          <w:rFonts w:eastAsia="Times New Roman" w:cs="Times New Roman"/>
          <w:color w:val="000000"/>
          <w:sz w:val="28"/>
          <w:szCs w:val="28"/>
          <w:lang w:eastAsia="es-CO"/>
        </w:rPr>
      </w:pPr>
      <w:r w:rsidRPr="002E50B3">
        <w:rPr>
          <w:rFonts w:eastAsia="Times New Roman" w:cs="Times New Roman"/>
          <w:b/>
          <w:bCs/>
          <w:color w:val="000000"/>
          <w:sz w:val="28"/>
          <w:szCs w:val="28"/>
          <w:highlight w:val="green"/>
          <w:lang w:eastAsia="es-CO"/>
        </w:rPr>
        <w:t>1.1.6.</w:t>
      </w:r>
      <w:r w:rsidRPr="002E50B3">
        <w:rPr>
          <w:rFonts w:eastAsia="Times New Roman" w:cs="Times New Roman"/>
          <w:color w:val="000000"/>
          <w:sz w:val="28"/>
          <w:szCs w:val="28"/>
          <w:highlight w:val="green"/>
          <w:lang w:eastAsia="es-CO"/>
        </w:rPr>
        <w:t> De igual manera, se confirma las consideraciones de este despacho en casos semejantes, como el planteado en la consulta analizada mediante el Concepto 066917 de diciembre 19 de 2014.</w:t>
      </w:r>
    </w:p>
    <w:p w14:paraId="0D455153" w14:textId="77777777" w:rsid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En los anteriores términos se resuelve su consulta, </w:t>
      </w:r>
      <w:r w:rsidRPr="00EB7E90">
        <w:rPr>
          <w:rFonts w:eastAsia="Times New Roman" w:cs="Times New Roman"/>
          <w:i/>
          <w:iCs/>
          <w:color w:val="000000"/>
          <w:szCs w:val="24"/>
          <w:lang w:eastAsia="es-CO"/>
        </w:rPr>
        <w:t>y </w:t>
      </w:r>
      <w:r w:rsidRPr="00EB7E90">
        <w:rPr>
          <w:rFonts w:eastAsia="Times New Roman" w:cs="Times New Roman"/>
          <w:color w:val="000000"/>
          <w:szCs w:val="24"/>
          <w:lang w:eastAsia="es-CO"/>
        </w:rPr>
        <w:t>cordialmente le informamos que tanto la normatividad en materia tributaria, aduanera </w:t>
      </w:r>
      <w:r w:rsidRPr="00EB7E90">
        <w:rPr>
          <w:rFonts w:eastAsia="Times New Roman" w:cs="Times New Roman"/>
          <w:i/>
          <w:iCs/>
          <w:color w:val="000000"/>
          <w:szCs w:val="24"/>
          <w:lang w:eastAsia="es-CO"/>
        </w:rPr>
        <w:t>y </w:t>
      </w:r>
      <w:r w:rsidRPr="00EB7E90">
        <w:rPr>
          <w:rFonts w:eastAsia="Times New Roman" w:cs="Times New Roman"/>
          <w:color w:val="000000"/>
          <w:szCs w:val="24"/>
          <w:lang w:eastAsia="es-CO"/>
        </w:rPr>
        <w:t>cambiaria, como los conceptos emitidos por la Dirección de Gestión Jurídica en estas materias pueden consultarse directamente en nuestra base de datos jurídica ingresando a la página electrónica de la DIAN: http</w:t>
      </w:r>
      <w:r w:rsidRPr="00EB7E90">
        <w:rPr>
          <w:rFonts w:eastAsia="Times New Roman" w:cs="Times New Roman"/>
          <w:i/>
          <w:iCs/>
          <w:color w:val="000000"/>
          <w:szCs w:val="24"/>
          <w:lang w:eastAsia="es-CO"/>
        </w:rPr>
        <w:t>s://ww</w:t>
      </w:r>
      <w:r w:rsidRPr="00EB7E90">
        <w:rPr>
          <w:rFonts w:eastAsia="Times New Roman" w:cs="Times New Roman"/>
          <w:color w:val="000000"/>
          <w:szCs w:val="24"/>
          <w:lang w:eastAsia="es-CO"/>
        </w:rPr>
        <w:t>w</w:t>
      </w:r>
      <w:r w:rsidRPr="00EB7E90">
        <w:rPr>
          <w:rFonts w:eastAsia="Times New Roman" w:cs="Times New Roman"/>
          <w:i/>
          <w:iCs/>
          <w:color w:val="000000"/>
          <w:szCs w:val="24"/>
          <w:lang w:eastAsia="es-CO"/>
        </w:rPr>
        <w:t>.</w:t>
      </w:r>
      <w:r w:rsidRPr="00EB7E90">
        <w:rPr>
          <w:rFonts w:eastAsia="Times New Roman" w:cs="Times New Roman"/>
          <w:color w:val="000000"/>
          <w:szCs w:val="24"/>
          <w:lang w:eastAsia="es-CO"/>
        </w:rPr>
        <w:t>dian.gov.co siguiendo íconos «Normatividad» – «Técnica» </w:t>
      </w:r>
      <w:r w:rsidRPr="00EB7E90">
        <w:rPr>
          <w:rFonts w:eastAsia="Times New Roman" w:cs="Times New Roman"/>
          <w:i/>
          <w:iCs/>
          <w:color w:val="000000"/>
          <w:szCs w:val="24"/>
          <w:lang w:eastAsia="es-CO"/>
        </w:rPr>
        <w:t>y </w:t>
      </w:r>
      <w:r w:rsidRPr="00EB7E90">
        <w:rPr>
          <w:rFonts w:eastAsia="Times New Roman" w:cs="Times New Roman"/>
          <w:color w:val="000000"/>
          <w:szCs w:val="24"/>
          <w:lang w:eastAsia="es-CO"/>
        </w:rPr>
        <w:t>seleccionando los vínculos «Doctrina» y «Dirección de Gestión Jurídica».</w:t>
      </w:r>
    </w:p>
    <w:p w14:paraId="374D876A" w14:textId="77777777" w:rsidR="00CF29A8" w:rsidRPr="00EB7E90" w:rsidRDefault="00CF29A8" w:rsidP="00EB7E90">
      <w:pPr>
        <w:spacing w:before="100" w:beforeAutospacing="1" w:after="100" w:afterAutospacing="1" w:line="240" w:lineRule="auto"/>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w:t>
      </w:r>
    </w:p>
    <w:p w14:paraId="3450B211"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 </w:t>
      </w:r>
    </w:p>
    <w:p w14:paraId="16CC17BC" w14:textId="77777777" w:rsidR="00730617" w:rsidRPr="00EB7E90" w:rsidRDefault="00730617" w:rsidP="00EB7E90">
      <w:pPr>
        <w:rPr>
          <w:rFonts w:cs="Times New Roman"/>
          <w:szCs w:val="24"/>
        </w:rPr>
      </w:pPr>
      <w:bookmarkStart w:id="0" w:name="_GoBack"/>
      <w:bookmarkEnd w:id="0"/>
    </w:p>
    <w:sectPr w:rsidR="00730617" w:rsidRPr="00EB7E9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41F41"/>
    <w:multiLevelType w:val="multilevel"/>
    <w:tmpl w:val="5514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66560"/>
    <w:multiLevelType w:val="multilevel"/>
    <w:tmpl w:val="BFB8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85DED"/>
    <w:multiLevelType w:val="multilevel"/>
    <w:tmpl w:val="4C40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A297E"/>
    <w:multiLevelType w:val="multilevel"/>
    <w:tmpl w:val="1AC2F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11825"/>
    <w:multiLevelType w:val="multilevel"/>
    <w:tmpl w:val="FDDEF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A04FA"/>
    <w:multiLevelType w:val="multilevel"/>
    <w:tmpl w:val="5220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40157"/>
    <w:multiLevelType w:val="multilevel"/>
    <w:tmpl w:val="43E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E33782"/>
    <w:multiLevelType w:val="multilevel"/>
    <w:tmpl w:val="7150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C2A5D"/>
    <w:multiLevelType w:val="multilevel"/>
    <w:tmpl w:val="C5E8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8"/>
  </w:num>
  <w:num w:numId="5">
    <w:abstractNumId w:val="6"/>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2E50B3"/>
    <w:rsid w:val="00730617"/>
    <w:rsid w:val="007F1A67"/>
    <w:rsid w:val="00A45230"/>
    <w:rsid w:val="00CF29A8"/>
    <w:rsid w:val="00EB7E90"/>
    <w:rsid w:val="00F518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AEC1"/>
  <w15:chartTrackingRefBased/>
  <w15:docId w15:val="{C4C8D814-92C7-4EF1-A212-61296732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5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3</cp:revision>
  <dcterms:created xsi:type="dcterms:W3CDTF">2019-06-29T00:47:00Z</dcterms:created>
  <dcterms:modified xsi:type="dcterms:W3CDTF">2019-09-24T00:21:00Z</dcterms:modified>
</cp:coreProperties>
</file>