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458" w:rsidRDefault="00FD3458"/>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FF"/>
          <w:sz w:val="28"/>
          <w:szCs w:val="28"/>
          <w:lang w:eastAsia="es-CO"/>
        </w:rPr>
        <w:t>CONSEJO DE ESTADO</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FF"/>
          <w:sz w:val="28"/>
          <w:szCs w:val="28"/>
          <w:lang w:eastAsia="es-CO"/>
        </w:rPr>
        <w:t>SALA DE LO CONTENCIOSO ADMINISTRATIVO</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FF"/>
          <w:sz w:val="28"/>
          <w:szCs w:val="28"/>
          <w:lang w:eastAsia="es-CO"/>
        </w:rPr>
        <w:t>SECCIÓN CUARTA</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FF"/>
          <w:sz w:val="28"/>
          <w:szCs w:val="28"/>
          <w:lang w:eastAsia="es-CO"/>
        </w:rPr>
        <w:t> </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FF"/>
          <w:sz w:val="28"/>
          <w:szCs w:val="28"/>
          <w:lang w:eastAsia="es-CO"/>
        </w:rPr>
        <w:t xml:space="preserve">Consejero ponente: JORGE OCTAVIO RAMÍREZ </w:t>
      </w:r>
      <w:proofErr w:type="spellStart"/>
      <w:r w:rsidRPr="00FD3458">
        <w:rPr>
          <w:rFonts w:ascii="Segoe UI" w:eastAsia="Times New Roman" w:hAnsi="Segoe UI" w:cs="Segoe UI"/>
          <w:b/>
          <w:bCs/>
          <w:color w:val="0000FF"/>
          <w:sz w:val="28"/>
          <w:szCs w:val="28"/>
          <w:lang w:eastAsia="es-CO"/>
        </w:rPr>
        <w:t>RAMÍREZ</w:t>
      </w:r>
      <w:proofErr w:type="spellEnd"/>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FF"/>
          <w:sz w:val="28"/>
          <w:szCs w:val="28"/>
          <w:lang w:eastAsia="es-CO"/>
        </w:rPr>
        <w:t>Bogotá, D.C., diecinueve (19) de marzo de dos mil diecinueve (2019)</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FF"/>
          <w:sz w:val="28"/>
          <w:szCs w:val="28"/>
          <w:lang w:eastAsia="es-CO"/>
        </w:rPr>
        <w:t>Radicación número: 15001-23-31-000-2008-00203-01(22004)</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FF"/>
          <w:sz w:val="28"/>
          <w:szCs w:val="28"/>
          <w:lang w:eastAsia="es-CO"/>
        </w:rPr>
        <w:t>Actor: PASIÓN PEÑA CASTRO</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FF"/>
          <w:sz w:val="28"/>
          <w:szCs w:val="28"/>
          <w:lang w:eastAsia="es-CO"/>
        </w:rPr>
        <w:t>Demandado: DIRECCIÓN DE IMPUESTOS Y ADUANAS NACIONALES - DIAN</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FF"/>
          <w:sz w:val="28"/>
          <w:szCs w:val="28"/>
          <w:lang w:eastAsia="es-CO"/>
        </w:rPr>
        <w:t> </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FF"/>
          <w:sz w:val="28"/>
          <w:szCs w:val="28"/>
          <w:lang w:eastAsia="es-CO"/>
        </w:rPr>
        <w:t>FALLO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FF"/>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FF"/>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Conoce la Sala el recurso de apelación interpuesto por la parte demandante contra la sentencia de 5 de febrero de 2015, proferida por el Tribunal Administrativo de Boyacá, que en su parte resolutiva dispuso lo siguiente:</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b/>
          <w:bCs/>
          <w:i/>
          <w:iCs/>
          <w:color w:val="000000"/>
          <w:sz w:val="18"/>
          <w:szCs w:val="18"/>
          <w:lang w:eastAsia="es-CO"/>
        </w:rPr>
        <w:t>PRIMERO: DECLARAR NO PROBADA </w:t>
      </w:r>
      <w:r w:rsidRPr="00FD3458">
        <w:rPr>
          <w:rFonts w:ascii="Segoe UI" w:eastAsia="Times New Roman" w:hAnsi="Segoe UI" w:cs="Segoe UI"/>
          <w:i/>
          <w:iCs/>
          <w:color w:val="000000"/>
          <w:sz w:val="18"/>
          <w:szCs w:val="18"/>
          <w:lang w:eastAsia="es-CO"/>
        </w:rPr>
        <w:t>la excepción de inepta demanda, propuesta por la parte demandada.</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18"/>
          <w:szCs w:val="18"/>
          <w:lang w:eastAsia="es-CO"/>
        </w:rPr>
        <w:t> </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b/>
          <w:bCs/>
          <w:i/>
          <w:iCs/>
          <w:color w:val="000000"/>
          <w:sz w:val="18"/>
          <w:szCs w:val="18"/>
          <w:lang w:eastAsia="es-CO"/>
        </w:rPr>
        <w:t>SEGUNDO: DENIÉGUENSE</w:t>
      </w:r>
      <w:r w:rsidRPr="00FD3458">
        <w:rPr>
          <w:rFonts w:ascii="Segoe UI" w:eastAsia="Times New Roman" w:hAnsi="Segoe UI" w:cs="Segoe UI"/>
          <w:i/>
          <w:iCs/>
          <w:color w:val="000000"/>
          <w:sz w:val="18"/>
          <w:szCs w:val="18"/>
          <w:lang w:eastAsia="es-CO"/>
        </w:rPr>
        <w:t> las pretensiones de la demanda, por las razones expuestas en la presente providencia.</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18"/>
          <w:szCs w:val="18"/>
          <w:lang w:eastAsia="es-CO"/>
        </w:rPr>
        <w:t> </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b/>
          <w:bCs/>
          <w:i/>
          <w:iCs/>
          <w:color w:val="000000"/>
          <w:sz w:val="18"/>
          <w:szCs w:val="18"/>
          <w:lang w:eastAsia="es-CO"/>
        </w:rPr>
        <w:t>TERCERO:</w:t>
      </w:r>
      <w:r w:rsidRPr="00FD3458">
        <w:rPr>
          <w:rFonts w:ascii="Segoe UI" w:eastAsia="Times New Roman" w:hAnsi="Segoe UI" w:cs="Segoe UI"/>
          <w:i/>
          <w:iCs/>
          <w:color w:val="000000"/>
          <w:sz w:val="18"/>
          <w:szCs w:val="18"/>
          <w:lang w:eastAsia="es-CO"/>
        </w:rPr>
        <w:t> Por Secretaría comuníquese a las partes en la forma y términos previstos en el artículo 173 del C.C.A.</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18"/>
          <w:szCs w:val="18"/>
          <w:lang w:eastAsia="es-CO"/>
        </w:rPr>
        <w:t> </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b/>
          <w:bCs/>
          <w:i/>
          <w:iCs/>
          <w:color w:val="000000"/>
          <w:sz w:val="18"/>
          <w:szCs w:val="18"/>
          <w:lang w:eastAsia="es-CO"/>
        </w:rPr>
        <w:t>CUARTO:</w:t>
      </w:r>
      <w:r w:rsidRPr="00FD3458">
        <w:rPr>
          <w:rFonts w:ascii="Segoe UI" w:eastAsia="Times New Roman" w:hAnsi="Segoe UI" w:cs="Segoe UI"/>
          <w:i/>
          <w:iCs/>
          <w:color w:val="000000"/>
          <w:sz w:val="18"/>
          <w:szCs w:val="18"/>
          <w:lang w:eastAsia="es-CO"/>
        </w:rPr>
        <w:t> En firme esta providencia, procédase al archivo del expediente, dejando las anotaciones y constancias de rigor.</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18"/>
          <w:szCs w:val="18"/>
          <w:lang w:eastAsia="es-CO"/>
        </w:rPr>
        <w:t> </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b/>
          <w:bCs/>
          <w:i/>
          <w:iCs/>
          <w:color w:val="000000"/>
          <w:sz w:val="18"/>
          <w:szCs w:val="18"/>
          <w:lang w:eastAsia="es-CO"/>
        </w:rPr>
        <w:t>QUINTO:</w:t>
      </w:r>
      <w:r w:rsidRPr="00FD3458">
        <w:rPr>
          <w:rFonts w:ascii="Segoe UI" w:eastAsia="Times New Roman" w:hAnsi="Segoe UI" w:cs="Segoe UI"/>
          <w:i/>
          <w:iCs/>
          <w:color w:val="000000"/>
          <w:sz w:val="18"/>
          <w:szCs w:val="18"/>
          <w:lang w:eastAsia="es-CO"/>
        </w:rPr>
        <w:t> Sin costas, en esta instancia.</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ANTECEDENTES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1. Demanda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i/>
          <w:iCs/>
          <w:color w:val="000000"/>
          <w:sz w:val="18"/>
          <w:szCs w:val="18"/>
          <w:lang w:eastAsia="es-CO"/>
        </w:rPr>
        <w:t>1.1 Pretensiones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En ejercicio de la acción de nulidad y restablecimiento del derecho, la parte demandante solicitó lo siguiente:</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b/>
          <w:bCs/>
          <w:i/>
          <w:iCs/>
          <w:color w:val="000000"/>
          <w:sz w:val="18"/>
          <w:szCs w:val="18"/>
          <w:lang w:eastAsia="es-CO"/>
        </w:rPr>
        <w:t>4.1</w:t>
      </w:r>
      <w:r w:rsidRPr="00FD3458">
        <w:rPr>
          <w:rFonts w:ascii="Segoe UI" w:eastAsia="Times New Roman" w:hAnsi="Segoe UI" w:cs="Segoe UI"/>
          <w:i/>
          <w:iCs/>
          <w:color w:val="000000"/>
          <w:sz w:val="18"/>
          <w:szCs w:val="18"/>
          <w:lang w:eastAsia="es-CO"/>
        </w:rPr>
        <w:t> Se decrete la nulidad de la Liquidación Oficial de Revisión No. 200642008000001</w:t>
      </w:r>
      <w:r w:rsidRPr="00FD3458">
        <w:rPr>
          <w:rFonts w:ascii="Segoe UI" w:eastAsia="Times New Roman" w:hAnsi="Segoe UI" w:cs="Segoe UI"/>
          <w:b/>
          <w:bCs/>
          <w:i/>
          <w:iCs/>
          <w:color w:val="000000"/>
          <w:sz w:val="18"/>
          <w:szCs w:val="18"/>
          <w:lang w:eastAsia="es-CO"/>
        </w:rPr>
        <w:t> </w:t>
      </w:r>
      <w:r w:rsidRPr="00FD3458">
        <w:rPr>
          <w:rFonts w:ascii="Segoe UI" w:eastAsia="Times New Roman" w:hAnsi="Segoe UI" w:cs="Segoe UI"/>
          <w:i/>
          <w:iCs/>
          <w:color w:val="000000"/>
          <w:sz w:val="18"/>
          <w:szCs w:val="18"/>
          <w:lang w:eastAsia="es-CO"/>
        </w:rPr>
        <w:t xml:space="preserve">de </w:t>
      </w:r>
      <w:proofErr w:type="gramStart"/>
      <w:r w:rsidRPr="00FD3458">
        <w:rPr>
          <w:rFonts w:ascii="Segoe UI" w:eastAsia="Times New Roman" w:hAnsi="Segoe UI" w:cs="Segoe UI"/>
          <w:i/>
          <w:iCs/>
          <w:color w:val="000000"/>
          <w:sz w:val="18"/>
          <w:szCs w:val="18"/>
          <w:lang w:eastAsia="es-CO"/>
        </w:rPr>
        <w:t>Enero</w:t>
      </w:r>
      <w:proofErr w:type="gramEnd"/>
      <w:r w:rsidRPr="00FD3458">
        <w:rPr>
          <w:rFonts w:ascii="Segoe UI" w:eastAsia="Times New Roman" w:hAnsi="Segoe UI" w:cs="Segoe UI"/>
          <w:i/>
          <w:iCs/>
          <w:color w:val="000000"/>
          <w:sz w:val="18"/>
          <w:szCs w:val="18"/>
          <w:lang w:eastAsia="es-CO"/>
        </w:rPr>
        <w:t xml:space="preserve"> 15 de 2008, por medio de la cual se le modificó la Liquidación Privada del Impuesto sobre la Renta y Complementarios por el año gravable 2004 y se le impuso sanción por inexactitud.</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b/>
          <w:bCs/>
          <w:i/>
          <w:iCs/>
          <w:color w:val="000000"/>
          <w:sz w:val="18"/>
          <w:szCs w:val="18"/>
          <w:lang w:eastAsia="es-CO"/>
        </w:rPr>
        <w:t>4.2</w:t>
      </w:r>
      <w:r w:rsidRPr="00FD3458">
        <w:rPr>
          <w:rFonts w:ascii="Segoe UI" w:eastAsia="Times New Roman" w:hAnsi="Segoe UI" w:cs="Segoe UI"/>
          <w:i/>
          <w:iCs/>
          <w:color w:val="000000"/>
          <w:sz w:val="18"/>
          <w:szCs w:val="18"/>
          <w:lang w:eastAsia="es-CO"/>
        </w:rPr>
        <w:t> Que como consecuencia de las declaraciones de nulidad de los actos administrativos se declare a título de restablecimiento del derecho de PASIÓN PEÑA CASTRO que no existe valor alguno a pagar por concepto de la Liquidación Oficial de Revisión del año gravable 2004 y la imposición de la sanción por inexactitud.</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i/>
          <w:iCs/>
          <w:color w:val="000000"/>
          <w:sz w:val="18"/>
          <w:szCs w:val="18"/>
          <w:lang w:eastAsia="es-CO"/>
        </w:rPr>
        <w:t>1.2 Hechos relevantes del asunto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Previo requerimiento especial y mediante la liquidación oficial de revisión nro. 200642008000001 de 15 de enero de 2008, la Administración Local de Impuestos Nacionales de Tunja modificó la declaración privada del impuesto sobre la renta del año 2004, presentada el 30 de abril de 2007 por el señor Pasión Peña Castro.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La adición de ingresos surgió de la aplicación de la presunción de renta presuntiva por consignaciones en cuentas bancarias por $98.630.395 y (ii) de la presunción de ingresos por omisión del registro de compras por $763.938.252.</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lastRenderedPageBreak/>
        <w:t>Esta adición de ingresos por $862.568.000 condujo: (i) a que se pasara de un impuesto declarado de $6.976.000 a un impuesto determinado de manera oficial de $336.966.000 y (ii) a que se impusiera sanción por inexactitud de $527.648.000.</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Conforme con lo anterior y teniendo en cuenta que la contribuyente había declarado $210.000 por concepto de sanción y $5.703.000 por retenciones, se pasó de un saldo a pagar declarado por $1.483.000 a uno determinado por $859.121.000.</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i/>
          <w:iCs/>
          <w:color w:val="000000"/>
          <w:sz w:val="18"/>
          <w:szCs w:val="18"/>
          <w:lang w:eastAsia="es-CO"/>
        </w:rPr>
        <w:t>1.3 Normas violadas y el concepto de la violación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Para la parte demandante, la actuación de la UAE – DIAN vulneró los artículos 29 de la Constitución Política (CP), </w:t>
      </w:r>
      <w:hyperlink r:id="rId4" w:tooltip="Estatuto Tributario CETA" w:history="1">
        <w:r w:rsidRPr="00FD3458">
          <w:rPr>
            <w:rFonts w:ascii="Segoe UI" w:eastAsia="Times New Roman" w:hAnsi="Segoe UI" w:cs="Segoe UI"/>
            <w:color w:val="0089E1"/>
            <w:sz w:val="18"/>
            <w:szCs w:val="18"/>
            <w:lang w:eastAsia="es-CO"/>
          </w:rPr>
          <w:t>588</w:t>
        </w:r>
      </w:hyperlink>
      <w:r w:rsidRPr="00FD3458">
        <w:rPr>
          <w:rFonts w:ascii="Segoe UI" w:eastAsia="Times New Roman" w:hAnsi="Segoe UI" w:cs="Segoe UI"/>
          <w:color w:val="000000"/>
          <w:sz w:val="18"/>
          <w:szCs w:val="18"/>
          <w:lang w:eastAsia="es-CO"/>
        </w:rPr>
        <w:t> (inciso segundo), </w:t>
      </w:r>
      <w:hyperlink r:id="rId5" w:tooltip="Estatuto Tributario CETA" w:history="1">
        <w:r w:rsidRPr="00FD3458">
          <w:rPr>
            <w:rFonts w:ascii="Segoe UI" w:eastAsia="Times New Roman" w:hAnsi="Segoe UI" w:cs="Segoe UI"/>
            <w:color w:val="0089E1"/>
            <w:sz w:val="18"/>
            <w:szCs w:val="18"/>
            <w:lang w:eastAsia="es-CO"/>
          </w:rPr>
          <w:t>683</w:t>
        </w:r>
      </w:hyperlink>
      <w:r w:rsidRPr="00FD3458">
        <w:rPr>
          <w:rFonts w:ascii="Segoe UI" w:eastAsia="Times New Roman" w:hAnsi="Segoe UI" w:cs="Segoe UI"/>
          <w:color w:val="000000"/>
          <w:sz w:val="18"/>
          <w:szCs w:val="18"/>
          <w:lang w:eastAsia="es-CO"/>
        </w:rPr>
        <w:t>, </w:t>
      </w:r>
      <w:hyperlink r:id="rId6" w:tooltip="Estatuto Tributario CETA" w:history="1">
        <w:r w:rsidRPr="00FD3458">
          <w:rPr>
            <w:rFonts w:ascii="Segoe UI" w:eastAsia="Times New Roman" w:hAnsi="Segoe UI" w:cs="Segoe UI"/>
            <w:color w:val="0089E1"/>
            <w:sz w:val="18"/>
            <w:szCs w:val="18"/>
            <w:lang w:eastAsia="es-CO"/>
          </w:rPr>
          <w:t>692</w:t>
        </w:r>
      </w:hyperlink>
      <w:r w:rsidRPr="00FD3458">
        <w:rPr>
          <w:rFonts w:ascii="Segoe UI" w:eastAsia="Times New Roman" w:hAnsi="Segoe UI" w:cs="Segoe UI"/>
          <w:color w:val="000000"/>
          <w:sz w:val="18"/>
          <w:szCs w:val="18"/>
          <w:lang w:eastAsia="es-CO"/>
        </w:rPr>
        <w:t>, </w:t>
      </w:r>
      <w:hyperlink r:id="rId7" w:tooltip="Estatuto Tributario CETA" w:history="1">
        <w:r w:rsidRPr="00FD3458">
          <w:rPr>
            <w:rFonts w:ascii="Segoe UI" w:eastAsia="Times New Roman" w:hAnsi="Segoe UI" w:cs="Segoe UI"/>
            <w:color w:val="0089E1"/>
            <w:sz w:val="18"/>
            <w:szCs w:val="18"/>
            <w:lang w:eastAsia="es-CO"/>
          </w:rPr>
          <w:t>704</w:t>
        </w:r>
      </w:hyperlink>
      <w:r w:rsidRPr="00FD3458">
        <w:rPr>
          <w:rFonts w:ascii="Segoe UI" w:eastAsia="Times New Roman" w:hAnsi="Segoe UI" w:cs="Segoe UI"/>
          <w:color w:val="000000"/>
          <w:sz w:val="18"/>
          <w:szCs w:val="18"/>
          <w:lang w:eastAsia="es-CO"/>
        </w:rPr>
        <w:t>, </w:t>
      </w:r>
      <w:hyperlink r:id="rId8" w:tooltip="Estatuto Tributario CETA" w:history="1">
        <w:r w:rsidRPr="00FD3458">
          <w:rPr>
            <w:rFonts w:ascii="Segoe UI" w:eastAsia="Times New Roman" w:hAnsi="Segoe UI" w:cs="Segoe UI"/>
            <w:color w:val="0089E1"/>
            <w:sz w:val="18"/>
            <w:szCs w:val="18"/>
            <w:lang w:eastAsia="es-CO"/>
          </w:rPr>
          <w:t>708</w:t>
        </w:r>
      </w:hyperlink>
      <w:r w:rsidRPr="00FD3458">
        <w:rPr>
          <w:rFonts w:ascii="Segoe UI" w:eastAsia="Times New Roman" w:hAnsi="Segoe UI" w:cs="Segoe UI"/>
          <w:color w:val="000000"/>
          <w:sz w:val="18"/>
          <w:szCs w:val="18"/>
          <w:lang w:eastAsia="es-CO"/>
        </w:rPr>
        <w:t>, </w:t>
      </w:r>
      <w:hyperlink r:id="rId9" w:tooltip="Estatuto Tributario CETA" w:history="1">
        <w:r w:rsidRPr="00FD3458">
          <w:rPr>
            <w:rFonts w:ascii="Segoe UI" w:eastAsia="Times New Roman" w:hAnsi="Segoe UI" w:cs="Segoe UI"/>
            <w:color w:val="0089E1"/>
            <w:sz w:val="18"/>
            <w:szCs w:val="18"/>
            <w:lang w:eastAsia="es-CO"/>
          </w:rPr>
          <w:t>711</w:t>
        </w:r>
      </w:hyperlink>
      <w:r w:rsidRPr="00FD3458">
        <w:rPr>
          <w:rFonts w:ascii="Segoe UI" w:eastAsia="Times New Roman" w:hAnsi="Segoe UI" w:cs="Segoe UI"/>
          <w:color w:val="000000"/>
          <w:sz w:val="18"/>
          <w:szCs w:val="18"/>
          <w:lang w:eastAsia="es-CO"/>
        </w:rPr>
        <w:t>, </w:t>
      </w:r>
      <w:hyperlink r:id="rId10" w:tooltip="Estatuto Tributario CETA" w:history="1">
        <w:r w:rsidRPr="00FD3458">
          <w:rPr>
            <w:rFonts w:ascii="Segoe UI" w:eastAsia="Times New Roman" w:hAnsi="Segoe UI" w:cs="Segoe UI"/>
            <w:color w:val="0089E1"/>
            <w:sz w:val="18"/>
            <w:szCs w:val="18"/>
            <w:lang w:eastAsia="es-CO"/>
          </w:rPr>
          <w:t>712</w:t>
        </w:r>
      </w:hyperlink>
      <w:r w:rsidRPr="00FD3458">
        <w:rPr>
          <w:rFonts w:ascii="Segoe UI" w:eastAsia="Times New Roman" w:hAnsi="Segoe UI" w:cs="Segoe UI"/>
          <w:color w:val="000000"/>
          <w:sz w:val="18"/>
          <w:szCs w:val="18"/>
          <w:lang w:eastAsia="es-CO"/>
        </w:rPr>
        <w:t> (literal g), </w:t>
      </w:r>
      <w:hyperlink r:id="rId11" w:tooltip="Estatuto Tributario CETA" w:history="1">
        <w:r w:rsidRPr="00FD3458">
          <w:rPr>
            <w:rFonts w:ascii="Segoe UI" w:eastAsia="Times New Roman" w:hAnsi="Segoe UI" w:cs="Segoe UI"/>
            <w:color w:val="0089E1"/>
            <w:sz w:val="18"/>
            <w:szCs w:val="18"/>
            <w:lang w:eastAsia="es-CO"/>
          </w:rPr>
          <w:t>742</w:t>
        </w:r>
      </w:hyperlink>
      <w:r w:rsidRPr="00FD3458">
        <w:rPr>
          <w:rFonts w:ascii="Segoe UI" w:eastAsia="Times New Roman" w:hAnsi="Segoe UI" w:cs="Segoe UI"/>
          <w:color w:val="000000"/>
          <w:sz w:val="18"/>
          <w:szCs w:val="18"/>
          <w:lang w:eastAsia="es-CO"/>
        </w:rPr>
        <w:t>, </w:t>
      </w:r>
      <w:hyperlink r:id="rId12" w:tooltip="Estatuto Tributario CETA" w:history="1">
        <w:r w:rsidRPr="00FD3458">
          <w:rPr>
            <w:rFonts w:ascii="Segoe UI" w:eastAsia="Times New Roman" w:hAnsi="Segoe UI" w:cs="Segoe UI"/>
            <w:color w:val="0089E1"/>
            <w:sz w:val="18"/>
            <w:szCs w:val="18"/>
            <w:lang w:eastAsia="es-CO"/>
          </w:rPr>
          <w:t>743</w:t>
        </w:r>
      </w:hyperlink>
      <w:r w:rsidRPr="00FD3458">
        <w:rPr>
          <w:rFonts w:ascii="Segoe UI" w:eastAsia="Times New Roman" w:hAnsi="Segoe UI" w:cs="Segoe UI"/>
          <w:color w:val="000000"/>
          <w:sz w:val="18"/>
          <w:szCs w:val="18"/>
          <w:lang w:eastAsia="es-CO"/>
        </w:rPr>
        <w:t>, </w:t>
      </w:r>
      <w:hyperlink r:id="rId13" w:tooltip="Estatuto Tributario CETA" w:history="1">
        <w:r w:rsidRPr="00FD3458">
          <w:rPr>
            <w:rFonts w:ascii="Segoe UI" w:eastAsia="Times New Roman" w:hAnsi="Segoe UI" w:cs="Segoe UI"/>
            <w:color w:val="0089E1"/>
            <w:sz w:val="18"/>
            <w:szCs w:val="18"/>
            <w:lang w:eastAsia="es-CO"/>
          </w:rPr>
          <w:t>744</w:t>
        </w:r>
      </w:hyperlink>
      <w:r w:rsidRPr="00FD3458">
        <w:rPr>
          <w:rFonts w:ascii="Segoe UI" w:eastAsia="Times New Roman" w:hAnsi="Segoe UI" w:cs="Segoe UI"/>
          <w:color w:val="000000"/>
          <w:sz w:val="18"/>
          <w:szCs w:val="18"/>
          <w:lang w:eastAsia="es-CO"/>
        </w:rPr>
        <w:t> (numerales 2, 3 y 5), </w:t>
      </w:r>
      <w:hyperlink r:id="rId14" w:tooltip="Estatuto Tributario CETA" w:history="1">
        <w:r w:rsidRPr="00FD3458">
          <w:rPr>
            <w:rFonts w:ascii="Segoe UI" w:eastAsia="Times New Roman" w:hAnsi="Segoe UI" w:cs="Segoe UI"/>
            <w:color w:val="0089E1"/>
            <w:sz w:val="18"/>
            <w:szCs w:val="18"/>
            <w:lang w:eastAsia="es-CO"/>
          </w:rPr>
          <w:t>746</w:t>
        </w:r>
      </w:hyperlink>
      <w:r w:rsidRPr="00FD3458">
        <w:rPr>
          <w:rFonts w:ascii="Segoe UI" w:eastAsia="Times New Roman" w:hAnsi="Segoe UI" w:cs="Segoe UI"/>
          <w:color w:val="000000"/>
          <w:sz w:val="18"/>
          <w:szCs w:val="18"/>
          <w:lang w:eastAsia="es-CO"/>
        </w:rPr>
        <w:t>, </w:t>
      </w:r>
      <w:hyperlink r:id="rId15" w:tooltip="Estatuto Tributario CETA" w:history="1">
        <w:r w:rsidRPr="00FD3458">
          <w:rPr>
            <w:rFonts w:ascii="Segoe UI" w:eastAsia="Times New Roman" w:hAnsi="Segoe UI" w:cs="Segoe UI"/>
            <w:color w:val="0089E1"/>
            <w:sz w:val="18"/>
            <w:szCs w:val="18"/>
            <w:lang w:eastAsia="es-CO"/>
          </w:rPr>
          <w:t>750</w:t>
        </w:r>
      </w:hyperlink>
      <w:r w:rsidRPr="00FD3458">
        <w:rPr>
          <w:rFonts w:ascii="Segoe UI" w:eastAsia="Times New Roman" w:hAnsi="Segoe UI" w:cs="Segoe UI"/>
          <w:color w:val="000000"/>
          <w:sz w:val="18"/>
          <w:szCs w:val="18"/>
          <w:lang w:eastAsia="es-CO"/>
        </w:rPr>
        <w:t>, </w:t>
      </w:r>
      <w:hyperlink r:id="rId16" w:tooltip="Estatuto Tributario CETA" w:history="1">
        <w:r w:rsidRPr="00FD3458">
          <w:rPr>
            <w:rFonts w:ascii="Segoe UI" w:eastAsia="Times New Roman" w:hAnsi="Segoe UI" w:cs="Segoe UI"/>
            <w:color w:val="0089E1"/>
            <w:sz w:val="18"/>
            <w:szCs w:val="18"/>
            <w:lang w:eastAsia="es-CO"/>
          </w:rPr>
          <w:t>755-3</w:t>
        </w:r>
      </w:hyperlink>
      <w:r w:rsidRPr="00FD3458">
        <w:rPr>
          <w:rFonts w:ascii="Segoe UI" w:eastAsia="Times New Roman" w:hAnsi="Segoe UI" w:cs="Segoe UI"/>
          <w:color w:val="000000"/>
          <w:sz w:val="18"/>
          <w:szCs w:val="18"/>
          <w:lang w:eastAsia="es-CO"/>
        </w:rPr>
        <w:t>, </w:t>
      </w:r>
      <w:hyperlink r:id="rId17" w:tooltip="Estatuto Tributario CETA" w:history="1">
        <w:r w:rsidRPr="00FD3458">
          <w:rPr>
            <w:rFonts w:ascii="Segoe UI" w:eastAsia="Times New Roman" w:hAnsi="Segoe UI" w:cs="Segoe UI"/>
            <w:color w:val="0089E1"/>
            <w:sz w:val="18"/>
            <w:szCs w:val="18"/>
            <w:lang w:eastAsia="es-CO"/>
          </w:rPr>
          <w:t>760</w:t>
        </w:r>
      </w:hyperlink>
      <w:r w:rsidRPr="00FD3458">
        <w:rPr>
          <w:rFonts w:ascii="Segoe UI" w:eastAsia="Times New Roman" w:hAnsi="Segoe UI" w:cs="Segoe UI"/>
          <w:color w:val="000000"/>
          <w:sz w:val="18"/>
          <w:szCs w:val="18"/>
          <w:lang w:eastAsia="es-CO"/>
        </w:rPr>
        <w:t>, </w:t>
      </w:r>
      <w:hyperlink r:id="rId18" w:tooltip="Estatuto Tributario CETA" w:history="1">
        <w:r w:rsidRPr="00FD3458">
          <w:rPr>
            <w:rFonts w:ascii="Segoe UI" w:eastAsia="Times New Roman" w:hAnsi="Segoe UI" w:cs="Segoe UI"/>
            <w:color w:val="0089E1"/>
            <w:sz w:val="18"/>
            <w:szCs w:val="18"/>
            <w:lang w:eastAsia="es-CO"/>
          </w:rPr>
          <w:t>766</w:t>
        </w:r>
      </w:hyperlink>
      <w:r w:rsidRPr="00FD3458">
        <w:rPr>
          <w:rFonts w:ascii="Segoe UI" w:eastAsia="Times New Roman" w:hAnsi="Segoe UI" w:cs="Segoe UI"/>
          <w:color w:val="000000"/>
          <w:sz w:val="18"/>
          <w:szCs w:val="18"/>
          <w:lang w:eastAsia="es-CO"/>
        </w:rPr>
        <w:t> y </w:t>
      </w:r>
      <w:hyperlink r:id="rId19" w:tooltip="Estatuto Tributario CETA" w:history="1">
        <w:r w:rsidRPr="00FD3458">
          <w:rPr>
            <w:rFonts w:ascii="Segoe UI" w:eastAsia="Times New Roman" w:hAnsi="Segoe UI" w:cs="Segoe UI"/>
            <w:color w:val="0089E1"/>
            <w:sz w:val="18"/>
            <w:szCs w:val="18"/>
            <w:lang w:eastAsia="es-CO"/>
          </w:rPr>
          <w:t>769</w:t>
        </w:r>
      </w:hyperlink>
      <w:r w:rsidRPr="00FD3458">
        <w:rPr>
          <w:rFonts w:ascii="Segoe UI" w:eastAsia="Times New Roman" w:hAnsi="Segoe UI" w:cs="Segoe UI"/>
          <w:color w:val="000000"/>
          <w:sz w:val="18"/>
          <w:szCs w:val="18"/>
          <w:lang w:eastAsia="es-CO"/>
        </w:rPr>
        <w:t> del Estatuto Tributario (ET), 170 del Código Contencioso Administrativo (CCA), 187, 304, 305 y 318 del Código de Procedimiento Civil (CPC), 55 de la Ley 270 de 1996, 264 de la Ley 223 de 1995 y 11 de la Ley 446 de 1998.</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También se desconocieron los conceptos de la DIAN </w:t>
      </w:r>
      <w:proofErr w:type="spellStart"/>
      <w:r w:rsidRPr="00FD3458">
        <w:rPr>
          <w:rFonts w:ascii="Segoe UI" w:eastAsia="Times New Roman" w:hAnsi="Segoe UI" w:cs="Segoe UI"/>
          <w:color w:val="000000"/>
          <w:sz w:val="18"/>
          <w:szCs w:val="18"/>
          <w:lang w:eastAsia="es-CO"/>
        </w:rPr>
        <w:t>nros</w:t>
      </w:r>
      <w:proofErr w:type="spellEnd"/>
      <w:r w:rsidRPr="00FD3458">
        <w:rPr>
          <w:rFonts w:ascii="Segoe UI" w:eastAsia="Times New Roman" w:hAnsi="Segoe UI" w:cs="Segoe UI"/>
          <w:color w:val="000000"/>
          <w:sz w:val="18"/>
          <w:szCs w:val="18"/>
          <w:lang w:eastAsia="es-CO"/>
        </w:rPr>
        <w:t>. 25657 de 22 de marzo de 2000, 19576 de 4 de abril de 2002, 76976 de 28 de noviembre de 2002 y 82229 de 8 de noviembre de 2005, y la circular DIAN nro. 0175 de 29 de octubre de 2001.</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El concepto de la violación se sintetiza así:</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La parte actora afirmó que la DIAN, al expedir el requerimiento especial, no tuvo en cuenta la corrección a la declaración presentada el 30 de abril de 2007, pese a </w:t>
      </w:r>
      <w:proofErr w:type="gramStart"/>
      <w:r w:rsidRPr="00FD3458">
        <w:rPr>
          <w:rFonts w:ascii="Segoe UI" w:eastAsia="Times New Roman" w:hAnsi="Segoe UI" w:cs="Segoe UI"/>
          <w:color w:val="000000"/>
          <w:sz w:val="18"/>
          <w:szCs w:val="18"/>
          <w:lang w:eastAsia="es-CO"/>
        </w:rPr>
        <w:t>que</w:t>
      </w:r>
      <w:proofErr w:type="gramEnd"/>
      <w:r w:rsidRPr="00FD3458">
        <w:rPr>
          <w:rFonts w:ascii="Segoe UI" w:eastAsia="Times New Roman" w:hAnsi="Segoe UI" w:cs="Segoe UI"/>
          <w:color w:val="000000"/>
          <w:sz w:val="18"/>
          <w:szCs w:val="18"/>
          <w:lang w:eastAsia="es-CO"/>
        </w:rPr>
        <w:t xml:space="preserve"> con ocasión de la respuesta al acto previo, se le había informado de su existencia.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La Administración tampoco observó el principio de correspondencia entre renglones, códigos y valores, que debe existir entre la liquidación oficial de revisión y el requerimiento especial</w:t>
      </w:r>
      <w:bookmarkStart w:id="0" w:name="_ftnref1"/>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"_ftn1"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[1]</w:t>
      </w:r>
      <w:r w:rsidRPr="00FD3458">
        <w:rPr>
          <w:rFonts w:ascii="Segoe UI" w:eastAsia="Times New Roman" w:hAnsi="Segoe UI" w:cs="Segoe UI"/>
          <w:color w:val="000000"/>
          <w:sz w:val="18"/>
          <w:szCs w:val="18"/>
          <w:lang w:eastAsia="es-CO"/>
        </w:rPr>
        <w:fldChar w:fldCharType="end"/>
      </w:r>
      <w:bookmarkEnd w:id="0"/>
      <w:r w:rsidRPr="00FD3458">
        <w:rPr>
          <w:rFonts w:ascii="Segoe UI" w:eastAsia="Times New Roman" w:hAnsi="Segoe UI" w:cs="Segoe UI"/>
          <w:color w:val="000000"/>
          <w:sz w:val="18"/>
          <w:szCs w:val="18"/>
          <w:lang w:eastAsia="es-CO"/>
        </w:rPr>
        <w:t>, lo que condujo a que se le hiciera más gravosa la situación al contribuyente y, por ende, se desconocieran los principios de justicia y de equidad tributaria.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En criterio de la parte actora, si el funcionario de la DIAN pretendía apartarse del requerimiento especial, para efectos de plantear una nueva determinación del impuesto, debió proferir una ampliación al requerimiento y darle la oportunidad al contribuyente de ejercer el derecho de defensa y de contradicción respecto de la mayor carga impositiva impuesta en la liquidación oficial de revisión</w:t>
      </w:r>
      <w:bookmarkStart w:id="1" w:name="_ftnref2"/>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"_ftn2"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[2]</w:t>
      </w:r>
      <w:r w:rsidRPr="00FD3458">
        <w:rPr>
          <w:rFonts w:ascii="Segoe UI" w:eastAsia="Times New Roman" w:hAnsi="Segoe UI" w:cs="Segoe UI"/>
          <w:color w:val="000000"/>
          <w:sz w:val="18"/>
          <w:szCs w:val="18"/>
          <w:lang w:eastAsia="es-CO"/>
        </w:rPr>
        <w:fldChar w:fldCharType="end"/>
      </w:r>
      <w:bookmarkEnd w:id="1"/>
      <w:r w:rsidRPr="00FD3458">
        <w:rPr>
          <w:rFonts w:ascii="Segoe UI" w:eastAsia="Times New Roman" w:hAnsi="Segoe UI" w:cs="Segoe UI"/>
          <w:color w:val="000000"/>
          <w:sz w:val="18"/>
          <w:szCs w:val="18"/>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Agregó que en el acto definitivo no se explicó la razón por la que se aumentó el tributo, en comparación con el propuesto en el requerimiento especial, razón por la cual, la actuación administrativa está viciada de nulidad.</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En lo que tiene que ver con la presunción de ingresos por omisión del registro de compras, afirmó que esta no se puede hacer extensiva a las compras realizadas por terceros o </w:t>
      </w:r>
      <w:r w:rsidRPr="00FD3458">
        <w:rPr>
          <w:rFonts w:ascii="Segoe UI" w:eastAsia="Times New Roman" w:hAnsi="Segoe UI" w:cs="Segoe UI"/>
          <w:i/>
          <w:iCs/>
          <w:color w:val="000000"/>
          <w:sz w:val="18"/>
          <w:szCs w:val="18"/>
          <w:lang w:eastAsia="es-CO"/>
        </w:rPr>
        <w:t>“así sea a través de terceros”</w:t>
      </w:r>
      <w:bookmarkStart w:id="2" w:name="_ftnref3"/>
      <w:r w:rsidRPr="00FD3458">
        <w:rPr>
          <w:rFonts w:ascii="Segoe UI" w:eastAsia="Times New Roman" w:hAnsi="Segoe UI" w:cs="Segoe UI"/>
          <w:i/>
          <w:iCs/>
          <w:color w:val="000000"/>
          <w:sz w:val="18"/>
          <w:szCs w:val="18"/>
          <w:lang w:eastAsia="es-CO"/>
        </w:rPr>
        <w:fldChar w:fldCharType="begin"/>
      </w:r>
      <w:r w:rsidRPr="00FD3458">
        <w:rPr>
          <w:rFonts w:ascii="Segoe UI" w:eastAsia="Times New Roman" w:hAnsi="Segoe UI" w:cs="Segoe UI"/>
          <w:i/>
          <w:iCs/>
          <w:color w:val="000000"/>
          <w:sz w:val="18"/>
          <w:szCs w:val="18"/>
          <w:lang w:eastAsia="es-CO"/>
        </w:rPr>
        <w:instrText xml:space="preserve"> HYPERLINK "https://www.ceta.org.co/html/vista_de_un_documento.asp?DocumentoID=36544" \l "_ftn3" \o "" </w:instrText>
      </w:r>
      <w:r w:rsidRPr="00FD3458">
        <w:rPr>
          <w:rFonts w:ascii="Segoe UI" w:eastAsia="Times New Roman" w:hAnsi="Segoe UI" w:cs="Segoe UI"/>
          <w:i/>
          <w:iCs/>
          <w:color w:val="000000"/>
          <w:sz w:val="18"/>
          <w:szCs w:val="18"/>
          <w:lang w:eastAsia="es-CO"/>
        </w:rPr>
        <w:fldChar w:fldCharType="separate"/>
      </w:r>
      <w:r w:rsidRPr="00FD3458">
        <w:rPr>
          <w:rFonts w:ascii="Segoe UI" w:eastAsia="Times New Roman" w:hAnsi="Segoe UI" w:cs="Segoe UI"/>
          <w:b/>
          <w:bCs/>
          <w:i/>
          <w:iCs/>
          <w:color w:val="0089E1"/>
          <w:sz w:val="22"/>
          <w:lang w:eastAsia="es-CO"/>
        </w:rPr>
        <w:t>[3]</w:t>
      </w:r>
      <w:r w:rsidRPr="00FD3458">
        <w:rPr>
          <w:rFonts w:ascii="Segoe UI" w:eastAsia="Times New Roman" w:hAnsi="Segoe UI" w:cs="Segoe UI"/>
          <w:i/>
          <w:iCs/>
          <w:color w:val="000000"/>
          <w:sz w:val="18"/>
          <w:szCs w:val="18"/>
          <w:lang w:eastAsia="es-CO"/>
        </w:rPr>
        <w:fldChar w:fldCharType="end"/>
      </w:r>
      <w:bookmarkEnd w:id="2"/>
      <w:r w:rsidRPr="00FD3458">
        <w:rPr>
          <w:rFonts w:ascii="Segoe UI" w:eastAsia="Times New Roman" w:hAnsi="Segoe UI" w:cs="Segoe UI"/>
          <w:i/>
          <w:iCs/>
          <w:color w:val="000000"/>
          <w:sz w:val="18"/>
          <w:szCs w:val="18"/>
          <w:lang w:eastAsia="es-CO"/>
        </w:rPr>
        <w:t>, </w:t>
      </w:r>
      <w:r w:rsidRPr="00FD3458">
        <w:rPr>
          <w:rFonts w:ascii="Segoe UI" w:eastAsia="Times New Roman" w:hAnsi="Segoe UI" w:cs="Segoe UI"/>
          <w:color w:val="000000"/>
          <w:sz w:val="18"/>
          <w:szCs w:val="18"/>
          <w:lang w:eastAsia="es-CO"/>
        </w:rPr>
        <w:t>porque conduciría a la violación del artículo 29 de la CP, por desconocimiento de los elementos propios de dicha presunción.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En relación con la adición de compras, precisó que la Administración se basó en “</w:t>
      </w:r>
      <w:r w:rsidRPr="00FD3458">
        <w:rPr>
          <w:rFonts w:ascii="Segoe UI" w:eastAsia="Times New Roman" w:hAnsi="Segoe UI" w:cs="Segoe UI"/>
          <w:i/>
          <w:iCs/>
          <w:color w:val="000000"/>
          <w:sz w:val="18"/>
          <w:szCs w:val="18"/>
          <w:lang w:eastAsia="es-CO"/>
        </w:rPr>
        <w:t xml:space="preserve">el mecanismo de identificación de </w:t>
      </w:r>
      <w:proofErr w:type="spellStart"/>
      <w:r w:rsidRPr="00FD3458">
        <w:rPr>
          <w:rFonts w:ascii="Segoe UI" w:eastAsia="Times New Roman" w:hAnsi="Segoe UI" w:cs="Segoe UI"/>
          <w:i/>
          <w:iCs/>
          <w:color w:val="000000"/>
          <w:sz w:val="18"/>
          <w:szCs w:val="18"/>
          <w:lang w:eastAsia="es-CO"/>
        </w:rPr>
        <w:t>Nits</w:t>
      </w:r>
      <w:proofErr w:type="spellEnd"/>
      <w:r w:rsidRPr="00FD3458">
        <w:rPr>
          <w:rFonts w:ascii="Segoe UI" w:eastAsia="Times New Roman" w:hAnsi="Segoe UI" w:cs="Segoe UI"/>
          <w:color w:val="000000"/>
          <w:sz w:val="18"/>
          <w:szCs w:val="18"/>
          <w:lang w:eastAsia="es-CO"/>
        </w:rPr>
        <w:t>”, pero, incurrió en el error de tener en cuenta números de identificación tributaria que no coinciden con el asignado al contribuyente.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Puso de presente que en sede administrativa no se tuvo en cuenta la certificación expedida por la </w:t>
      </w:r>
      <w:proofErr w:type="spellStart"/>
      <w:r w:rsidRPr="00FD3458">
        <w:rPr>
          <w:rFonts w:ascii="Segoe UI" w:eastAsia="Times New Roman" w:hAnsi="Segoe UI" w:cs="Segoe UI"/>
          <w:color w:val="000000"/>
          <w:sz w:val="18"/>
          <w:szCs w:val="18"/>
          <w:lang w:eastAsia="es-CO"/>
        </w:rPr>
        <w:t>Registraduría</w:t>
      </w:r>
      <w:proofErr w:type="spellEnd"/>
      <w:r w:rsidRPr="00FD3458">
        <w:rPr>
          <w:rFonts w:ascii="Segoe UI" w:eastAsia="Times New Roman" w:hAnsi="Segoe UI" w:cs="Segoe UI"/>
          <w:color w:val="000000"/>
          <w:sz w:val="18"/>
          <w:szCs w:val="18"/>
          <w:lang w:eastAsia="es-CO"/>
        </w:rPr>
        <w:t xml:space="preserve"> Nacional del Estado Civil, lo que condujo a que se incurriera en el error de atribuirle transacciones al demandante, que se realizaron por terceros.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Agregó que las compras realizadas por la señora Ninfa Rocha, no se le pueden adicionar, porque se trata de una comerciante que para la época de los hechos era responsable de obligaciones de carácter fiscal, ante la DIAN.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Respecto del señor </w:t>
      </w:r>
      <w:proofErr w:type="spellStart"/>
      <w:r w:rsidRPr="00FD3458">
        <w:rPr>
          <w:rFonts w:ascii="Segoe UI" w:eastAsia="Times New Roman" w:hAnsi="Segoe UI" w:cs="Segoe UI"/>
          <w:color w:val="000000"/>
          <w:sz w:val="18"/>
          <w:szCs w:val="18"/>
          <w:lang w:eastAsia="es-CO"/>
        </w:rPr>
        <w:t>Jefer</w:t>
      </w:r>
      <w:proofErr w:type="spellEnd"/>
      <w:r w:rsidRPr="00FD3458">
        <w:rPr>
          <w:rFonts w:ascii="Segoe UI" w:eastAsia="Times New Roman" w:hAnsi="Segoe UI" w:cs="Segoe UI"/>
          <w:color w:val="000000"/>
          <w:sz w:val="18"/>
          <w:szCs w:val="18"/>
          <w:lang w:eastAsia="es-CO"/>
        </w:rPr>
        <w:t xml:space="preserve"> Mauricio Villalobos, la administración no tuvo en cuenta que su declaración del impuesto de renta y complementarios del año 2004 goza de presunción de veracidad</w:t>
      </w:r>
      <w:bookmarkStart w:id="3" w:name="_ftnref4"/>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"_ftn4"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[4]</w:t>
      </w:r>
      <w:r w:rsidRPr="00FD3458">
        <w:rPr>
          <w:rFonts w:ascii="Segoe UI" w:eastAsia="Times New Roman" w:hAnsi="Segoe UI" w:cs="Segoe UI"/>
          <w:color w:val="000000"/>
          <w:sz w:val="18"/>
          <w:szCs w:val="18"/>
          <w:lang w:eastAsia="es-CO"/>
        </w:rPr>
        <w:fldChar w:fldCharType="end"/>
      </w:r>
      <w:bookmarkEnd w:id="3"/>
      <w:r w:rsidRPr="00FD3458">
        <w:rPr>
          <w:rFonts w:ascii="Segoe UI" w:eastAsia="Times New Roman" w:hAnsi="Segoe UI" w:cs="Segoe UI"/>
          <w:color w:val="000000"/>
          <w:sz w:val="18"/>
          <w:szCs w:val="18"/>
          <w:lang w:eastAsia="es-CO"/>
        </w:rPr>
        <w:t> y, por ende, constituye prueba documental que se debe valorar.</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Agregó que en la actuación administrativa demandada la DIAN asoció las operaciones realizadas por terceros, a la actividad del contribuyente, porque la dirección reportada por aquellos corresponde con el domicilio social y fiscal del demandante, lo que merece dos precisiones: (i) que este hecho no está previsto como una presunción en materia tributaria y (ii) que la dirección señalada en la página 4 del requerimiento especial (carrera 10 # 9-30) no coincide con la del contribuyente (carrera 10 # 9-37), registrada en el RUT</w:t>
      </w:r>
      <w:bookmarkStart w:id="4" w:name="_ftnref5"/>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"_ftn5"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[5]</w:t>
      </w:r>
      <w:r w:rsidRPr="00FD3458">
        <w:rPr>
          <w:rFonts w:ascii="Segoe UI" w:eastAsia="Times New Roman" w:hAnsi="Segoe UI" w:cs="Segoe UI"/>
          <w:color w:val="000000"/>
          <w:sz w:val="18"/>
          <w:szCs w:val="18"/>
          <w:lang w:eastAsia="es-CO"/>
        </w:rPr>
        <w:fldChar w:fldCharType="end"/>
      </w:r>
      <w:bookmarkEnd w:id="4"/>
      <w:r w:rsidRPr="00FD3458">
        <w:rPr>
          <w:rFonts w:ascii="Segoe UI" w:eastAsia="Times New Roman" w:hAnsi="Segoe UI" w:cs="Segoe UI"/>
          <w:color w:val="000000"/>
          <w:sz w:val="18"/>
          <w:szCs w:val="18"/>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lastRenderedPageBreak/>
        <w:t xml:space="preserve">Finalmente, la parte actora concluyó que la desatención de los conceptos de la DIAN </w:t>
      </w:r>
      <w:proofErr w:type="spellStart"/>
      <w:r w:rsidRPr="00FD3458">
        <w:rPr>
          <w:rFonts w:ascii="Segoe UI" w:eastAsia="Times New Roman" w:hAnsi="Segoe UI" w:cs="Segoe UI"/>
          <w:color w:val="000000"/>
          <w:sz w:val="22"/>
          <w:lang w:eastAsia="es-CO"/>
        </w:rPr>
        <w:t>Nros</w:t>
      </w:r>
      <w:proofErr w:type="spellEnd"/>
      <w:r w:rsidRPr="00FD3458">
        <w:rPr>
          <w:rFonts w:ascii="Segoe UI" w:eastAsia="Times New Roman" w:hAnsi="Segoe UI" w:cs="Segoe UI"/>
          <w:color w:val="000000"/>
          <w:sz w:val="22"/>
          <w:lang w:eastAsia="es-CO"/>
        </w:rPr>
        <w:t>. 0003025657 de 22 de marzo de 2000 (sobre la declaración tributaria como prueba documental), 0212076976 de 28 de noviembre de 2002 (sobre la ampliación al requerimiento especial) y 0511082229 de 8 de noviembre de 2005 (sobre el RUT), a su vez, condujo al desconocimiento de la Circular de la DIAN Nro. 0175 de 2001, que se refiere a la obligatoriedad y vigencia de los conceptos de dicha entidad.</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2. Oposición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La UAE – DIAN se opuso a las pretensiones de la demanda, por las razones que se resumen a continuación: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Explicó que en el requerimiento especial expedido el 2 de mayo de 2007, no se tuvo en cuenta la corrección a la declaración, presentada por el contribuyente el 30 de abril de 2007, porque este omitió informarle a la Administración de tal hecho, razón por la cual, en los términos del </w:t>
      </w:r>
      <w:hyperlink r:id="rId20" w:tooltip="Estatuto Tributario CETA" w:history="1">
        <w:r w:rsidRPr="00FD3458">
          <w:rPr>
            <w:rFonts w:ascii="Segoe UI" w:eastAsia="Times New Roman" w:hAnsi="Segoe UI" w:cs="Segoe UI"/>
            <w:color w:val="0089E1"/>
            <w:sz w:val="18"/>
            <w:szCs w:val="18"/>
            <w:lang w:eastAsia="es-CO"/>
          </w:rPr>
          <w:t>artículo 692</w:t>
        </w:r>
      </w:hyperlink>
      <w:r w:rsidRPr="00FD3458">
        <w:rPr>
          <w:rFonts w:ascii="Segoe UI" w:eastAsia="Times New Roman" w:hAnsi="Segoe UI" w:cs="Segoe UI"/>
          <w:color w:val="000000"/>
          <w:sz w:val="18"/>
          <w:szCs w:val="18"/>
          <w:lang w:eastAsia="es-CO"/>
        </w:rPr>
        <w:t> del ET, la actuación demandada no está viciada de nulidad, máxime, si se observa que sobre dicha corrección se expidió la liquidación oficial de revisión, lo que a su vez explica la diferencia que existe entre el acto previo y el definitivo.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En lo que tiene que ver con el fondo del asunto, está probado que el contribuyente realizó compra de insumos de su actividad comercial a nombre de terceras personas, razón por la cual, procedía tanto la determinación oficial del tributo como la imposición de la sanción correspondiente.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Contrario a lo afirmado por el demandante, la actuación administrativa está basada en las pruebas recopiladas en el cruce de información con sus proveedores, quienes informaron que la mercancía se envió y entregó a nombre del contribuyente, en la dirección reportada en el RUT; por lo tanto, no fue la coincidencia en los números de identificación personal la que sustentó la actuación demandada.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Además, se constató que los números de NIT que obran en el reporte no corresponden a ningún contribuyente.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Para la DIAN, está probado que el demandante compró mercancía a nombre de terceros, por lo siguiente: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 Aunque la señora Ninfa Rocha era una comerciante responsable del impuesto sobre la renta por el año 2004 y de ventas hasta el tercer bimestre del mismo año, no se puede pasar por alto </w:t>
      </w:r>
      <w:proofErr w:type="gramStart"/>
      <w:r w:rsidRPr="00FD3458">
        <w:rPr>
          <w:rFonts w:ascii="Segoe UI" w:eastAsia="Times New Roman" w:hAnsi="Segoe UI" w:cs="Segoe UI"/>
          <w:color w:val="000000"/>
          <w:sz w:val="18"/>
          <w:szCs w:val="18"/>
          <w:lang w:eastAsia="es-CO"/>
        </w:rPr>
        <w:t>que</w:t>
      </w:r>
      <w:proofErr w:type="gramEnd"/>
      <w:r w:rsidRPr="00FD3458">
        <w:rPr>
          <w:rFonts w:ascii="Segoe UI" w:eastAsia="Times New Roman" w:hAnsi="Segoe UI" w:cs="Segoe UI"/>
          <w:color w:val="000000"/>
          <w:sz w:val="18"/>
          <w:szCs w:val="18"/>
          <w:lang w:eastAsia="es-CO"/>
        </w:rPr>
        <w:t xml:space="preserve"> en los meses de septiembre, octubre y noviembre de 2004, cuando </w:t>
      </w:r>
      <w:proofErr w:type="spellStart"/>
      <w:r w:rsidRPr="00FD3458">
        <w:rPr>
          <w:rFonts w:ascii="Segoe UI" w:eastAsia="Times New Roman" w:hAnsi="Segoe UI" w:cs="Segoe UI"/>
          <w:color w:val="000000"/>
          <w:sz w:val="18"/>
          <w:szCs w:val="18"/>
          <w:lang w:eastAsia="es-CO"/>
        </w:rPr>
        <w:t>esta</w:t>
      </w:r>
      <w:proofErr w:type="spellEnd"/>
      <w:r w:rsidRPr="00FD3458">
        <w:rPr>
          <w:rFonts w:ascii="Segoe UI" w:eastAsia="Times New Roman" w:hAnsi="Segoe UI" w:cs="Segoe UI"/>
          <w:color w:val="000000"/>
          <w:sz w:val="18"/>
          <w:szCs w:val="18"/>
          <w:lang w:eastAsia="es-CO"/>
        </w:rPr>
        <w:t xml:space="preserve"> ya no ostentaba dicha calidad, la sociedad COLOMBINA S.A. facturó compras a su nombre, pero, la entrega de la mercancía se realizó en la dirección del demandante.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 El proveedor </w:t>
      </w:r>
      <w:proofErr w:type="spellStart"/>
      <w:r w:rsidRPr="00FD3458">
        <w:rPr>
          <w:rFonts w:ascii="Segoe UI" w:eastAsia="Times New Roman" w:hAnsi="Segoe UI" w:cs="Segoe UI"/>
          <w:color w:val="000000"/>
          <w:sz w:val="18"/>
          <w:szCs w:val="18"/>
          <w:lang w:eastAsia="es-CO"/>
        </w:rPr>
        <w:t>Torrecafé</w:t>
      </w:r>
      <w:proofErr w:type="spellEnd"/>
      <w:r w:rsidRPr="00FD3458">
        <w:rPr>
          <w:rFonts w:ascii="Segoe UI" w:eastAsia="Times New Roman" w:hAnsi="Segoe UI" w:cs="Segoe UI"/>
          <w:color w:val="000000"/>
          <w:sz w:val="18"/>
          <w:szCs w:val="18"/>
          <w:lang w:eastAsia="es-CO"/>
        </w:rPr>
        <w:t xml:space="preserve"> Águila Roja manifestó </w:t>
      </w:r>
      <w:proofErr w:type="gramStart"/>
      <w:r w:rsidRPr="00FD3458">
        <w:rPr>
          <w:rFonts w:ascii="Segoe UI" w:eastAsia="Times New Roman" w:hAnsi="Segoe UI" w:cs="Segoe UI"/>
          <w:color w:val="000000"/>
          <w:sz w:val="18"/>
          <w:szCs w:val="18"/>
          <w:lang w:eastAsia="es-CO"/>
        </w:rPr>
        <w:t>que</w:t>
      </w:r>
      <w:proofErr w:type="gramEnd"/>
      <w:r w:rsidRPr="00FD3458">
        <w:rPr>
          <w:rFonts w:ascii="Segoe UI" w:eastAsia="Times New Roman" w:hAnsi="Segoe UI" w:cs="Segoe UI"/>
          <w:color w:val="000000"/>
          <w:sz w:val="18"/>
          <w:szCs w:val="18"/>
          <w:lang w:eastAsia="es-CO"/>
        </w:rPr>
        <w:t xml:space="preserve"> aunque las facturas se expidieron a nombre del señor Ernesto Camacho, las transacciones, en realidad, se surtieron con el señor Pasión Peña.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La mercancía comprada a nombre de los señores José Benítez Ortega y Omar García, se despachó y entregó en la dirección fiscal del actor.</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 El pago a algunos proveedores del demandante se hizo con fondos de la cuenta corriente a nombre del señor </w:t>
      </w:r>
      <w:proofErr w:type="spellStart"/>
      <w:r w:rsidRPr="00FD3458">
        <w:rPr>
          <w:rFonts w:ascii="Segoe UI" w:eastAsia="Times New Roman" w:hAnsi="Segoe UI" w:cs="Segoe UI"/>
          <w:color w:val="000000"/>
          <w:sz w:val="18"/>
          <w:szCs w:val="18"/>
          <w:lang w:eastAsia="es-CO"/>
        </w:rPr>
        <w:t>Jefer</w:t>
      </w:r>
      <w:proofErr w:type="spellEnd"/>
      <w:r w:rsidRPr="00FD3458">
        <w:rPr>
          <w:rFonts w:ascii="Segoe UI" w:eastAsia="Times New Roman" w:hAnsi="Segoe UI" w:cs="Segoe UI"/>
          <w:color w:val="000000"/>
          <w:sz w:val="18"/>
          <w:szCs w:val="18"/>
          <w:lang w:eastAsia="es-CO"/>
        </w:rPr>
        <w:t xml:space="preserve"> Mauricio Villalobos y la entrega de la mercancía se realizó en la dirección del demandante. Además, los cheques aparecen firmados por el señor Pasión Peña.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 La carrera 10 # 9-30, citada en la demanda, corresponde al señor Omar García, pero, las facturas que soportan la mercancía entregada en esa dirección, fueron pagadas con cheques de la cuenta corriente del señor </w:t>
      </w:r>
      <w:proofErr w:type="spellStart"/>
      <w:r w:rsidRPr="00FD3458">
        <w:rPr>
          <w:rFonts w:ascii="Segoe UI" w:eastAsia="Times New Roman" w:hAnsi="Segoe UI" w:cs="Segoe UI"/>
          <w:color w:val="000000"/>
          <w:sz w:val="18"/>
          <w:szCs w:val="18"/>
          <w:lang w:eastAsia="es-CO"/>
        </w:rPr>
        <w:t>Jefer</w:t>
      </w:r>
      <w:proofErr w:type="spellEnd"/>
      <w:r w:rsidRPr="00FD3458">
        <w:rPr>
          <w:rFonts w:ascii="Segoe UI" w:eastAsia="Times New Roman" w:hAnsi="Segoe UI" w:cs="Segoe UI"/>
          <w:color w:val="000000"/>
          <w:sz w:val="18"/>
          <w:szCs w:val="18"/>
          <w:lang w:eastAsia="es-CO"/>
        </w:rPr>
        <w:t xml:space="preserve"> Mauricio Villalobos. Esos cheques también aparecen firmados por el actor.</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Por lo anterior, concluyó que el demandante realizó compras a nombre de terceros y que estas no aparecen registradas en su contabilidad, razón por la cual, procede la glosa en discusión.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Finalmente, propuso la excepción de inepta demanda, porque no se demandó la nulidad del requerimiento especial.</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3. Sentencia apelada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El Tribunal declaró no probada la excepción de inepta demanda, porque el requerimiento especial es un acto de trámite que no es susceptible de control jurisdiccional.</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En lo que tiene que ver con el fondo del asunto, el </w:t>
      </w:r>
      <w:r w:rsidRPr="00FD3458">
        <w:rPr>
          <w:rFonts w:ascii="Segoe UI" w:eastAsia="Times New Roman" w:hAnsi="Segoe UI" w:cs="Segoe UI"/>
          <w:i/>
          <w:iCs/>
          <w:color w:val="000000"/>
          <w:sz w:val="18"/>
          <w:szCs w:val="18"/>
          <w:lang w:eastAsia="es-CO"/>
        </w:rPr>
        <w:t>a quo</w:t>
      </w:r>
      <w:r w:rsidRPr="00FD3458">
        <w:rPr>
          <w:rFonts w:ascii="Segoe UI" w:eastAsia="Times New Roman" w:hAnsi="Segoe UI" w:cs="Segoe UI"/>
          <w:color w:val="000000"/>
          <w:sz w:val="18"/>
          <w:szCs w:val="18"/>
          <w:lang w:eastAsia="es-CO"/>
        </w:rPr>
        <w:t> negó las pretensiones de la demanda, por las siguientes razones: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No se presentó la falta de correspondencia entre el requerimiento especial y la liquidación oficial de revisión, porque las glosas propuestas siempre han sido las mismas y, en el acto definitivo no se propusieron hechos nuevos.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lastRenderedPageBreak/>
        <w:t>Tampoco evidenció la necesidad de que se ampliara el requerimiento especial, porque el contribuyente pudo ejercer el derecho de contradicción al contestar el requerimiento y solicitar pruebas.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Además, la corrección a la declaración inicial se tuvo en cuenta para expedir la liquidación oficial de revisión demandada, lo que condujo a que los valores se modificaran.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Al analizar las pruebas aportadas al expediente, el Tribunal concluyó que existen indicios graves que conducen a que se aplique la presunción de renta por consignaciones en cuentas bancarias a nombre de terceros.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Afirmó que el hecho que el señor </w:t>
      </w:r>
      <w:proofErr w:type="spellStart"/>
      <w:r w:rsidRPr="00FD3458">
        <w:rPr>
          <w:rFonts w:ascii="Segoe UI" w:eastAsia="Times New Roman" w:hAnsi="Segoe UI" w:cs="Segoe UI"/>
          <w:color w:val="000000"/>
          <w:sz w:val="18"/>
          <w:szCs w:val="18"/>
          <w:lang w:eastAsia="es-CO"/>
        </w:rPr>
        <w:t>Jefer</w:t>
      </w:r>
      <w:proofErr w:type="spellEnd"/>
      <w:r w:rsidRPr="00FD3458">
        <w:rPr>
          <w:rFonts w:ascii="Segoe UI" w:eastAsia="Times New Roman" w:hAnsi="Segoe UI" w:cs="Segoe UI"/>
          <w:color w:val="000000"/>
          <w:sz w:val="18"/>
          <w:szCs w:val="18"/>
          <w:lang w:eastAsia="es-CO"/>
        </w:rPr>
        <w:t xml:space="preserve"> Mauricio Villalobos haya presentado la declaración en la que supuestamente se reflejaban los movimientos de la cuenta de la que era titular, no es impedimento para que la Administración, en ejercicio de su función fiscalizadora, indague el verdadero origen de los ingresos.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En cuanto a la aplicación de la presunción de la omisión en el registro de compras, afirmó que la glosa está soportada en la información exógena proveniente de los proveedores de la mercancía, conforme con la cual, las ventas realizadas a nombre de terceros, en realidad, están relacionadas con el demandante.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Precisó que los indicios encontrados por la DIAN no fueron controvertidos por el contribuyente. Que este se limitó a manifestar su inconformidad y a aportar como prueba un oficio de la </w:t>
      </w:r>
      <w:proofErr w:type="spellStart"/>
      <w:r w:rsidRPr="00FD3458">
        <w:rPr>
          <w:rFonts w:ascii="Segoe UI" w:eastAsia="Times New Roman" w:hAnsi="Segoe UI" w:cs="Segoe UI"/>
          <w:color w:val="000000"/>
          <w:sz w:val="18"/>
          <w:szCs w:val="18"/>
          <w:lang w:eastAsia="es-CO"/>
        </w:rPr>
        <w:t>Registraduría</w:t>
      </w:r>
      <w:proofErr w:type="spellEnd"/>
      <w:r w:rsidRPr="00FD3458">
        <w:rPr>
          <w:rFonts w:ascii="Segoe UI" w:eastAsia="Times New Roman" w:hAnsi="Segoe UI" w:cs="Segoe UI"/>
          <w:color w:val="000000"/>
          <w:sz w:val="18"/>
          <w:szCs w:val="18"/>
          <w:lang w:eastAsia="es-CO"/>
        </w:rPr>
        <w:t xml:space="preserve"> del Estado Civil de Chiquinquirá, que por sí solo no desvirtúa que el actor haya realizado compras utilizando datos de terceros.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Por lo anterior, concluyó que no se desvirtuó la presunción de legalidad de la liquidación oficial de revisión demandada.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Finalmente, se abstuvo de condenar en costas a la parte actora, porque no se advirtió temeridad o mala fe en su actuación.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4. Recurso de apelación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La parte demandante </w:t>
      </w:r>
      <w:r w:rsidRPr="00FD3458">
        <w:rPr>
          <w:rFonts w:ascii="Segoe UI" w:eastAsia="Times New Roman" w:hAnsi="Segoe UI" w:cs="Segoe UI"/>
          <w:color w:val="000000"/>
          <w:sz w:val="18"/>
          <w:szCs w:val="18"/>
          <w:lang w:eastAsia="es-CO"/>
        </w:rPr>
        <w:t>interpuso recurso de apelación y solicitó que se revoque la sentencia de primera instancia, porque el Tribunal desconoció que en este caso se violó el debido proceso.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Esta violación se concretó en </w:t>
      </w:r>
      <w:proofErr w:type="gramStart"/>
      <w:r w:rsidRPr="00FD3458">
        <w:rPr>
          <w:rFonts w:ascii="Segoe UI" w:eastAsia="Times New Roman" w:hAnsi="Segoe UI" w:cs="Segoe UI"/>
          <w:color w:val="000000"/>
          <w:sz w:val="18"/>
          <w:szCs w:val="18"/>
          <w:lang w:eastAsia="es-CO"/>
        </w:rPr>
        <w:t>que</w:t>
      </w:r>
      <w:proofErr w:type="gramEnd"/>
      <w:r w:rsidRPr="00FD3458">
        <w:rPr>
          <w:rFonts w:ascii="Segoe UI" w:eastAsia="Times New Roman" w:hAnsi="Segoe UI" w:cs="Segoe UI"/>
          <w:color w:val="000000"/>
          <w:sz w:val="18"/>
          <w:szCs w:val="18"/>
          <w:lang w:eastAsia="es-CO"/>
        </w:rPr>
        <w:t xml:space="preserve"> para expedir el requerimiento especial, la DIAN no tuvo en cuenta la corrección que el contribuyente presentó a la declaración analizada.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Además, en la liquidación oficial de revisión demandada, se incluyeron valores adicionales a los previstos en el acto previo, lo que podía ser viable, sin generar nulidad, si se hubiera ampliado el requerimiento especial, con la consecuente posibilidad de que el administrado pudiera controvertir dicha adición.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Para la parte actora no es acertado que el </w:t>
      </w:r>
      <w:r w:rsidRPr="00FD3458">
        <w:rPr>
          <w:rFonts w:ascii="Segoe UI" w:eastAsia="Times New Roman" w:hAnsi="Segoe UI" w:cs="Segoe UI"/>
          <w:i/>
          <w:iCs/>
          <w:color w:val="000000"/>
          <w:sz w:val="18"/>
          <w:szCs w:val="18"/>
          <w:lang w:eastAsia="es-CO"/>
        </w:rPr>
        <w:t>a quo</w:t>
      </w:r>
      <w:r w:rsidRPr="00FD3458">
        <w:rPr>
          <w:rFonts w:ascii="Segoe UI" w:eastAsia="Times New Roman" w:hAnsi="Segoe UI" w:cs="Segoe UI"/>
          <w:color w:val="000000"/>
          <w:sz w:val="18"/>
          <w:szCs w:val="18"/>
          <w:lang w:eastAsia="es-CO"/>
        </w:rPr>
        <w:t> avale que la Administración, al proferir la liquidación oficial de revisión, tenga en cuenta la corrección a la declaración, porque esto implica la modificación al requerimiento especial y una carga más onerosa para el contribuyente.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Puso de presente que con la respuesta al requerimiento especial se informó de la existencia de la corrección a la declaración, razón por la cual, la DIAN estaba obligada a basar su actuación en dicha corrección.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Agregó que el Tribunal tampoco tuvo en cuenta que la liquidación oficial de revisión no concuerda con el requerimiento especial, lo que se evidencia de la confrontación de las cifras que soportan cada acto y de su correspondiente código, como se expuso en la demanda y consta en los cuadros comparativos, que no se analizaron en primera instancia.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Por otra parte, manifestó que el Tribunal no aplicó en debida forma la presunción prevista en el </w:t>
      </w:r>
      <w:hyperlink r:id="rId21" w:tooltip="Estatuto Tributario CETA" w:history="1">
        <w:r w:rsidRPr="00FD3458">
          <w:rPr>
            <w:rFonts w:ascii="Segoe UI" w:eastAsia="Times New Roman" w:hAnsi="Segoe UI" w:cs="Segoe UI"/>
            <w:color w:val="0089E1"/>
            <w:sz w:val="18"/>
            <w:szCs w:val="18"/>
            <w:lang w:eastAsia="es-CO"/>
          </w:rPr>
          <w:t>artículo 760</w:t>
        </w:r>
      </w:hyperlink>
      <w:r w:rsidRPr="00FD3458">
        <w:rPr>
          <w:rFonts w:ascii="Segoe UI" w:eastAsia="Times New Roman" w:hAnsi="Segoe UI" w:cs="Segoe UI"/>
          <w:color w:val="000000"/>
          <w:sz w:val="18"/>
          <w:szCs w:val="18"/>
          <w:lang w:eastAsia="es-CO"/>
        </w:rPr>
        <w:t> del ET, porque esta le aplica al contribuyente, en relación con las compras realizadas </w:t>
      </w:r>
      <w:r w:rsidRPr="00FD3458">
        <w:rPr>
          <w:rFonts w:ascii="Segoe UI" w:eastAsia="Times New Roman" w:hAnsi="Segoe UI" w:cs="Segoe UI"/>
          <w:i/>
          <w:iCs/>
          <w:color w:val="000000"/>
          <w:sz w:val="18"/>
          <w:szCs w:val="18"/>
          <w:lang w:eastAsia="es-CO"/>
        </w:rPr>
        <w:t>“directamente” </w:t>
      </w:r>
      <w:r w:rsidRPr="00FD3458">
        <w:rPr>
          <w:rFonts w:ascii="Segoe UI" w:eastAsia="Times New Roman" w:hAnsi="Segoe UI" w:cs="Segoe UI"/>
          <w:color w:val="000000"/>
          <w:sz w:val="18"/>
          <w:szCs w:val="18"/>
          <w:lang w:eastAsia="es-CO"/>
        </w:rPr>
        <w:t>por este.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Destacó la Administración y el Tribunal incurrieron en error al aplicar, en contra del contribuyente, la presunción de ingresos por omisión del registro de compras que realizaron terceros, porque se trata de un supuesto que no está incluido en la norma.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Por lo anterior, afirmó que es el tercero el llamado a responder por dicha omisión, máxime si se trata de un declarante del impuesto de renta, como ocurre con el señor </w:t>
      </w:r>
      <w:proofErr w:type="spellStart"/>
      <w:r w:rsidRPr="00FD3458">
        <w:rPr>
          <w:rFonts w:ascii="Segoe UI" w:eastAsia="Times New Roman" w:hAnsi="Segoe UI" w:cs="Segoe UI"/>
          <w:color w:val="000000"/>
          <w:sz w:val="18"/>
          <w:szCs w:val="18"/>
          <w:lang w:eastAsia="es-CO"/>
        </w:rPr>
        <w:t>Jefer</w:t>
      </w:r>
      <w:proofErr w:type="spellEnd"/>
      <w:r w:rsidRPr="00FD3458">
        <w:rPr>
          <w:rFonts w:ascii="Segoe UI" w:eastAsia="Times New Roman" w:hAnsi="Segoe UI" w:cs="Segoe UI"/>
          <w:color w:val="000000"/>
          <w:sz w:val="18"/>
          <w:szCs w:val="18"/>
          <w:lang w:eastAsia="es-CO"/>
        </w:rPr>
        <w:t xml:space="preserve"> Mauricio Villalobos.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5. Alegatos de conclusión en segunda instancia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5.1 La </w:t>
      </w:r>
      <w:r w:rsidRPr="00FD3458">
        <w:rPr>
          <w:rFonts w:ascii="Segoe UI" w:eastAsia="Times New Roman" w:hAnsi="Segoe UI" w:cs="Segoe UI"/>
          <w:b/>
          <w:bCs/>
          <w:color w:val="000000"/>
          <w:sz w:val="18"/>
          <w:szCs w:val="18"/>
          <w:lang w:eastAsia="es-CO"/>
        </w:rPr>
        <w:t>parte demandada</w:t>
      </w:r>
      <w:r w:rsidRPr="00FD3458">
        <w:rPr>
          <w:rFonts w:ascii="Segoe UI" w:eastAsia="Times New Roman" w:hAnsi="Segoe UI" w:cs="Segoe UI"/>
          <w:color w:val="000000"/>
          <w:sz w:val="18"/>
          <w:szCs w:val="18"/>
          <w:lang w:eastAsia="es-CO"/>
        </w:rPr>
        <w:t> reiteró los argumentos expuestos en la contestación de la demanda y pidió que se confirme la sentencia apelada.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5.2 La </w:t>
      </w:r>
      <w:r w:rsidRPr="00FD3458">
        <w:rPr>
          <w:rFonts w:ascii="Segoe UI" w:eastAsia="Times New Roman" w:hAnsi="Segoe UI" w:cs="Segoe UI"/>
          <w:b/>
          <w:bCs/>
          <w:color w:val="000000"/>
          <w:sz w:val="18"/>
          <w:szCs w:val="18"/>
          <w:lang w:eastAsia="es-CO"/>
        </w:rPr>
        <w:t>parte demandante</w:t>
      </w:r>
      <w:r w:rsidRPr="00FD3458">
        <w:rPr>
          <w:rFonts w:ascii="Segoe UI" w:eastAsia="Times New Roman" w:hAnsi="Segoe UI" w:cs="Segoe UI"/>
          <w:color w:val="000000"/>
          <w:sz w:val="18"/>
          <w:szCs w:val="18"/>
          <w:lang w:eastAsia="es-CO"/>
        </w:rPr>
        <w:t> guardó silencio.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lastRenderedPageBreak/>
        <w:t>5.3 El </w:t>
      </w:r>
      <w:r w:rsidRPr="00FD3458">
        <w:rPr>
          <w:rFonts w:ascii="Segoe UI" w:eastAsia="Times New Roman" w:hAnsi="Segoe UI" w:cs="Segoe UI"/>
          <w:b/>
          <w:bCs/>
          <w:color w:val="000000"/>
          <w:sz w:val="18"/>
          <w:szCs w:val="18"/>
          <w:lang w:eastAsia="es-CO"/>
        </w:rPr>
        <w:t>Ministerio Público</w:t>
      </w:r>
      <w:r w:rsidRPr="00FD3458">
        <w:rPr>
          <w:rFonts w:ascii="Segoe UI" w:eastAsia="Times New Roman" w:hAnsi="Segoe UI" w:cs="Segoe UI"/>
          <w:color w:val="000000"/>
          <w:sz w:val="18"/>
          <w:szCs w:val="18"/>
          <w:lang w:eastAsia="es-CO"/>
        </w:rPr>
        <w:t> no intervino en esta etapa procesal.</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CONSIDERACIONES DE LA SALA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1. Desconocimiento de la declaración de corrección en el proceso de determinación oficial del tributo, omisión en la expedición de la ampliación al requerimiento especial y falta de correspondencia entre el requerimiento especial y la liquidación oficial de revisión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1.1 La parte actora afirmó que la DIAN incurrió en las siguientes irregularidades: (i) no tuvo en cuenta la corrección a la declaración para efectos de proferir el requerimiento especial, (ii) omitió expedir la ampliación al requerimiento especial, (iii) no observó la correspondencia que debe existir entre la liquidación oficial de revisión y el requerimiento especial, y (iv) para proferir la liquidación oficial de revisión la DIAN tuvo en cuenta la corrección a la declaración, lo que hizo más gravosa la situación del contribuyente.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1.2 Para resolver, se advierte que el 26 de abril de 2005 el señor Pasión Peña Castro presentó -con pago- la declaración de renta del año gravable 2004</w:t>
      </w:r>
      <w:bookmarkStart w:id="5" w:name="_ftnref6"/>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"_ftn6"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[6]</w:t>
      </w:r>
      <w:r w:rsidRPr="00FD3458">
        <w:rPr>
          <w:rFonts w:ascii="Segoe UI" w:eastAsia="Times New Roman" w:hAnsi="Segoe UI" w:cs="Segoe UI"/>
          <w:color w:val="000000"/>
          <w:sz w:val="18"/>
          <w:szCs w:val="18"/>
          <w:lang w:eastAsia="es-CO"/>
        </w:rPr>
        <w:fldChar w:fldCharType="end"/>
      </w:r>
      <w:bookmarkEnd w:id="5"/>
      <w:r w:rsidRPr="00FD3458">
        <w:rPr>
          <w:rFonts w:ascii="Segoe UI" w:eastAsia="Times New Roman" w:hAnsi="Segoe UI" w:cs="Segoe UI"/>
          <w:color w:val="000000"/>
          <w:sz w:val="18"/>
          <w:szCs w:val="18"/>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Esta declaración se corrigió el 30 de abril de 2007</w:t>
      </w:r>
      <w:bookmarkStart w:id="6" w:name="_ftnref7"/>
      <w:r w:rsidRPr="00FD3458">
        <w:rPr>
          <w:rFonts w:ascii="Segoe UI" w:eastAsia="Times New Roman" w:hAnsi="Segoe UI" w:cs="Segoe UI"/>
          <w:color w:val="000000"/>
          <w:sz w:val="22"/>
          <w:lang w:eastAsia="es-CO"/>
        </w:rPr>
        <w:fldChar w:fldCharType="begin"/>
      </w:r>
      <w:r w:rsidRPr="00FD3458">
        <w:rPr>
          <w:rFonts w:ascii="Segoe UI" w:eastAsia="Times New Roman" w:hAnsi="Segoe UI" w:cs="Segoe UI"/>
          <w:color w:val="000000"/>
          <w:sz w:val="22"/>
          <w:lang w:eastAsia="es-CO"/>
        </w:rPr>
        <w:instrText xml:space="preserve"> HYPERLINK "https://www.ceta.org.co/html/vista_de_un_documento.asp?DocumentoID=36544" \l "_ftn7" \o "" </w:instrText>
      </w:r>
      <w:r w:rsidRPr="00FD3458">
        <w:rPr>
          <w:rFonts w:ascii="Segoe UI" w:eastAsia="Times New Roman" w:hAnsi="Segoe UI" w:cs="Segoe UI"/>
          <w:color w:val="000000"/>
          <w:sz w:val="22"/>
          <w:lang w:eastAsia="es-CO"/>
        </w:rPr>
        <w:fldChar w:fldCharType="separate"/>
      </w:r>
      <w:r w:rsidRPr="00FD3458">
        <w:rPr>
          <w:rFonts w:ascii="Segoe UI" w:eastAsia="Times New Roman" w:hAnsi="Segoe UI" w:cs="Segoe UI"/>
          <w:color w:val="0089E1"/>
          <w:sz w:val="22"/>
          <w:lang w:eastAsia="es-CO"/>
        </w:rPr>
        <w:t>[7]</w:t>
      </w:r>
      <w:r w:rsidRPr="00FD3458">
        <w:rPr>
          <w:rFonts w:ascii="Segoe UI" w:eastAsia="Times New Roman" w:hAnsi="Segoe UI" w:cs="Segoe UI"/>
          <w:color w:val="000000"/>
          <w:sz w:val="22"/>
          <w:lang w:eastAsia="es-CO"/>
        </w:rPr>
        <w:fldChar w:fldCharType="end"/>
      </w:r>
      <w:bookmarkEnd w:id="6"/>
      <w:r w:rsidRPr="00FD3458">
        <w:rPr>
          <w:rFonts w:ascii="Segoe UI" w:eastAsia="Times New Roman" w:hAnsi="Segoe UI" w:cs="Segoe UI"/>
          <w:color w:val="000000"/>
          <w:sz w:val="22"/>
          <w:lang w:eastAsia="es-CO"/>
        </w:rPr>
        <w:t>, </w:t>
      </w:r>
      <w:r w:rsidRPr="00FD3458">
        <w:rPr>
          <w:rFonts w:ascii="Segoe UI" w:eastAsia="Times New Roman" w:hAnsi="Segoe UI" w:cs="Segoe UI"/>
          <w:i/>
          <w:iCs/>
          <w:color w:val="000000"/>
          <w:sz w:val="22"/>
          <w:lang w:eastAsia="es-CO"/>
        </w:rPr>
        <w:t>“para incluir factores no declarados inicialmente y sustraer aquellos que afectaban los costos de la mercancía vendida, por tratarse de devoluciones y descuentos”</w:t>
      </w:r>
      <w:bookmarkStart w:id="7" w:name="_ftnref8"/>
      <w:r w:rsidRPr="00FD3458">
        <w:rPr>
          <w:rFonts w:ascii="Segoe UI" w:eastAsia="Times New Roman" w:hAnsi="Segoe UI" w:cs="Segoe UI"/>
          <w:i/>
          <w:iCs/>
          <w:color w:val="000000"/>
          <w:sz w:val="22"/>
          <w:lang w:eastAsia="es-CO"/>
        </w:rPr>
        <w:fldChar w:fldCharType="begin"/>
      </w:r>
      <w:r w:rsidRPr="00FD3458">
        <w:rPr>
          <w:rFonts w:ascii="Segoe UI" w:eastAsia="Times New Roman" w:hAnsi="Segoe UI" w:cs="Segoe UI"/>
          <w:i/>
          <w:iCs/>
          <w:color w:val="000000"/>
          <w:sz w:val="22"/>
          <w:lang w:eastAsia="es-CO"/>
        </w:rPr>
        <w:instrText xml:space="preserve"> HYPERLINK "https://www.ceta.org.co/html/vista_de_un_documento.asp?DocumentoID=36544" \l "_ftn8" \o "" </w:instrText>
      </w:r>
      <w:r w:rsidRPr="00FD3458">
        <w:rPr>
          <w:rFonts w:ascii="Segoe UI" w:eastAsia="Times New Roman" w:hAnsi="Segoe UI" w:cs="Segoe UI"/>
          <w:i/>
          <w:iCs/>
          <w:color w:val="000000"/>
          <w:sz w:val="22"/>
          <w:lang w:eastAsia="es-CO"/>
        </w:rPr>
        <w:fldChar w:fldCharType="separate"/>
      </w:r>
      <w:r w:rsidRPr="00FD3458">
        <w:rPr>
          <w:rFonts w:ascii="Segoe UI" w:eastAsia="Times New Roman" w:hAnsi="Segoe UI" w:cs="Segoe UI"/>
          <w:b/>
          <w:bCs/>
          <w:i/>
          <w:iCs/>
          <w:color w:val="0089E1"/>
          <w:sz w:val="22"/>
          <w:lang w:eastAsia="es-CO"/>
        </w:rPr>
        <w:t>[8]</w:t>
      </w:r>
      <w:r w:rsidRPr="00FD3458">
        <w:rPr>
          <w:rFonts w:ascii="Segoe UI" w:eastAsia="Times New Roman" w:hAnsi="Segoe UI" w:cs="Segoe UI"/>
          <w:i/>
          <w:iCs/>
          <w:color w:val="000000"/>
          <w:sz w:val="22"/>
          <w:lang w:eastAsia="es-CO"/>
        </w:rPr>
        <w:fldChar w:fldCharType="end"/>
      </w:r>
      <w:bookmarkEnd w:id="7"/>
      <w:r w:rsidRPr="00FD3458">
        <w:rPr>
          <w:rFonts w:ascii="Segoe UI" w:eastAsia="Times New Roman" w:hAnsi="Segoe UI" w:cs="Segoe UI"/>
          <w:i/>
          <w:iCs/>
          <w:color w:val="000000"/>
          <w:sz w:val="22"/>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1.3 Confrontadas las declaraciones (inicial y de corrección) presentadas por el demandante, se advierte que, en términos generales, el contribuyente adicionó los ingresos brutos operacionales en $184.964.000, los intereses y rendimientos financieros en $2.160.000 y el costo de ventas en $176.364.000, lo que condujo a que se alteraran los demás renglones, como se observa en el cuadro comparativo visible en el numeral 1.10 de esta providencia.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1.4 Aunque esta corrección se presentó en la entidad financiera el 30 de abril de 2007, en el expediente no obra prueba de que el contribuyente, en cumplimiento de lo previsto en el </w:t>
      </w:r>
      <w:hyperlink r:id="rId22" w:tooltip="Estatuto Tributario CETA" w:history="1">
        <w:r w:rsidRPr="00FD3458">
          <w:rPr>
            <w:rFonts w:ascii="Segoe UI" w:eastAsia="Times New Roman" w:hAnsi="Segoe UI" w:cs="Segoe UI"/>
            <w:color w:val="0089E1"/>
            <w:sz w:val="18"/>
            <w:szCs w:val="18"/>
            <w:lang w:eastAsia="es-CO"/>
          </w:rPr>
          <w:t>artículo 692</w:t>
        </w:r>
      </w:hyperlink>
      <w:r w:rsidRPr="00FD3458">
        <w:rPr>
          <w:rFonts w:ascii="Segoe UI" w:eastAsia="Times New Roman" w:hAnsi="Segoe UI" w:cs="Segoe UI"/>
          <w:color w:val="000000"/>
          <w:sz w:val="18"/>
          <w:szCs w:val="18"/>
          <w:lang w:eastAsia="es-CO"/>
        </w:rPr>
        <w:t> del ET, le haya informado a la Administración de su existencia</w:t>
      </w:r>
      <w:bookmarkStart w:id="8" w:name="_ftnref9"/>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"_ftn9"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[9]</w:t>
      </w:r>
      <w:r w:rsidRPr="00FD3458">
        <w:rPr>
          <w:rFonts w:ascii="Segoe UI" w:eastAsia="Times New Roman" w:hAnsi="Segoe UI" w:cs="Segoe UI"/>
          <w:color w:val="000000"/>
          <w:sz w:val="18"/>
          <w:szCs w:val="18"/>
          <w:lang w:eastAsia="es-CO"/>
        </w:rPr>
        <w:fldChar w:fldCharType="end"/>
      </w:r>
      <w:bookmarkEnd w:id="8"/>
      <w:r w:rsidRPr="00FD3458">
        <w:rPr>
          <w:rFonts w:ascii="Segoe UI" w:eastAsia="Times New Roman" w:hAnsi="Segoe UI" w:cs="Segoe UI"/>
          <w:color w:val="000000"/>
          <w:sz w:val="18"/>
          <w:szCs w:val="18"/>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1.5 Como la DIAN, para la fecha en la que expidió el requerimiento especial (2 de mayo de 2007), no tenía conocimiento de la citada corrección, es válido que la propuesta de modificación, en este acto previo, verse sobre la declaración inicial, circunstancia que no vicia de nulidad la actuación, porque conforme con el </w:t>
      </w:r>
      <w:hyperlink r:id="rId23" w:tooltip="Estatuto Tributario CETA" w:history="1">
        <w:r w:rsidRPr="00FD3458">
          <w:rPr>
            <w:rFonts w:ascii="Segoe UI" w:eastAsia="Times New Roman" w:hAnsi="Segoe UI" w:cs="Segoe UI"/>
            <w:color w:val="0089E1"/>
            <w:sz w:val="18"/>
            <w:szCs w:val="18"/>
            <w:lang w:eastAsia="es-CO"/>
          </w:rPr>
          <w:t>artículo 692</w:t>
        </w:r>
      </w:hyperlink>
      <w:r w:rsidRPr="00FD3458">
        <w:rPr>
          <w:rFonts w:ascii="Segoe UI" w:eastAsia="Times New Roman" w:hAnsi="Segoe UI" w:cs="Segoe UI"/>
          <w:color w:val="000000"/>
          <w:sz w:val="18"/>
          <w:szCs w:val="18"/>
          <w:lang w:eastAsia="es-CO"/>
        </w:rPr>
        <w:t> del ET, es deber del administrado informar la existencia de una corrección a la declaración privada sobre la que se basa el proceso de determinación oficial del tributo y </w:t>
      </w:r>
      <w:r w:rsidRPr="00FD3458">
        <w:rPr>
          <w:rFonts w:ascii="Segoe UI" w:eastAsia="Times New Roman" w:hAnsi="Segoe UI" w:cs="Segoe UI"/>
          <w:i/>
          <w:iCs/>
          <w:color w:val="000000"/>
          <w:sz w:val="18"/>
          <w:szCs w:val="18"/>
          <w:lang w:eastAsia="es-CO"/>
        </w:rPr>
        <w:t>“[n]o será causal de nulidad de los actos administrativos, el hecho de que no se basen en la última corrección presentada por el contribuyente, cuando este no hubiere dado aviso de ello”.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1.6 Por otra parte, si bien es cierto que con la respuesta al requerimiento especial, presentada el 2 de agosto de 2007</w:t>
      </w:r>
      <w:bookmarkStart w:id="9" w:name="_ftnref10"/>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"_ftn10"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[10]</w:t>
      </w:r>
      <w:r w:rsidRPr="00FD3458">
        <w:rPr>
          <w:rFonts w:ascii="Segoe UI" w:eastAsia="Times New Roman" w:hAnsi="Segoe UI" w:cs="Segoe UI"/>
          <w:color w:val="000000"/>
          <w:sz w:val="18"/>
          <w:szCs w:val="18"/>
          <w:lang w:eastAsia="es-CO"/>
        </w:rPr>
        <w:fldChar w:fldCharType="end"/>
      </w:r>
      <w:bookmarkEnd w:id="9"/>
      <w:r w:rsidRPr="00FD3458">
        <w:rPr>
          <w:rFonts w:ascii="Segoe UI" w:eastAsia="Times New Roman" w:hAnsi="Segoe UI" w:cs="Segoe UI"/>
          <w:color w:val="000000"/>
          <w:sz w:val="18"/>
          <w:szCs w:val="18"/>
          <w:lang w:eastAsia="es-CO"/>
        </w:rPr>
        <w:t>, el contribuyente puso de presente la existencia de la corrección a la declaración de renta del año 2004, es claro que este hecho no conducía, necesariamente, a que la DIAN ampliara el requerimiento especial, porque el </w:t>
      </w:r>
      <w:hyperlink r:id="rId24" w:tooltip="Estatuto Tributario CETA" w:history="1">
        <w:r w:rsidRPr="00FD3458">
          <w:rPr>
            <w:rFonts w:ascii="Segoe UI" w:eastAsia="Times New Roman" w:hAnsi="Segoe UI" w:cs="Segoe UI"/>
            <w:color w:val="0089E1"/>
            <w:sz w:val="18"/>
            <w:szCs w:val="18"/>
            <w:lang w:eastAsia="es-CO"/>
          </w:rPr>
          <w:t>artículo 708</w:t>
        </w:r>
      </w:hyperlink>
      <w:r w:rsidRPr="00FD3458">
        <w:rPr>
          <w:rFonts w:ascii="Segoe UI" w:eastAsia="Times New Roman" w:hAnsi="Segoe UI" w:cs="Segoe UI"/>
          <w:color w:val="000000"/>
          <w:sz w:val="18"/>
          <w:szCs w:val="18"/>
          <w:lang w:eastAsia="es-CO"/>
        </w:rPr>
        <w:t>del ET reserva este tipo de actuación para aquellos eventos en los que con ocasión de la respuesta a este acto preparatorio, el funcionario de la Administración advierte la necesidad de incluir hechos nuevos y conceptos no contemplados en el requerimiento especial inicial, de los que pueda surgir una nueva determinación oficial de los impuestos, anticipos, retenciones y sanciones, supuestos que no se presentan en este asunto.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1.7 En lo que tiene que ver con la presunta falta de correspondencia entre el requerimiento especial y la liquidación oficial de revisión, la Sala pone de presente que este principio se debe apreciar en relación con los hechos contemplados en dichos actos. Así se desprende del </w:t>
      </w:r>
      <w:hyperlink r:id="rId25" w:tooltip="Estatuto Tributario CETA" w:history="1">
        <w:r w:rsidRPr="00FD3458">
          <w:rPr>
            <w:rFonts w:ascii="Segoe UI" w:eastAsia="Times New Roman" w:hAnsi="Segoe UI" w:cs="Segoe UI"/>
            <w:color w:val="0089E1"/>
            <w:sz w:val="18"/>
            <w:szCs w:val="18"/>
            <w:lang w:eastAsia="es-CO"/>
          </w:rPr>
          <w:t>artículo 711</w:t>
        </w:r>
      </w:hyperlink>
      <w:r w:rsidRPr="00FD3458">
        <w:rPr>
          <w:rFonts w:ascii="Segoe UI" w:eastAsia="Times New Roman" w:hAnsi="Segoe UI" w:cs="Segoe UI"/>
          <w:color w:val="000000"/>
          <w:sz w:val="18"/>
          <w:szCs w:val="18"/>
          <w:lang w:eastAsia="es-CO"/>
        </w:rPr>
        <w:t> del ET</w:t>
      </w:r>
      <w:bookmarkStart w:id="10" w:name="_ftnref11"/>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"_ftn11"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[11]</w:t>
      </w:r>
      <w:r w:rsidRPr="00FD3458">
        <w:rPr>
          <w:rFonts w:ascii="Segoe UI" w:eastAsia="Times New Roman" w:hAnsi="Segoe UI" w:cs="Segoe UI"/>
          <w:color w:val="000000"/>
          <w:sz w:val="18"/>
          <w:szCs w:val="18"/>
          <w:lang w:eastAsia="es-CO"/>
        </w:rPr>
        <w:fldChar w:fldCharType="end"/>
      </w:r>
      <w:bookmarkEnd w:id="10"/>
      <w:r w:rsidRPr="00FD3458">
        <w:rPr>
          <w:rFonts w:ascii="Segoe UI" w:eastAsia="Times New Roman" w:hAnsi="Segoe UI" w:cs="Segoe UI"/>
          <w:color w:val="000000"/>
          <w:sz w:val="18"/>
          <w:szCs w:val="18"/>
          <w:lang w:eastAsia="es-CO"/>
        </w:rPr>
        <w:t>, en armonía con lo previsto en los artículos </w:t>
      </w:r>
      <w:hyperlink r:id="rId26" w:tooltip="Estatuto Tributario CETA" w:history="1">
        <w:r w:rsidRPr="00FD3458">
          <w:rPr>
            <w:rFonts w:ascii="Segoe UI" w:eastAsia="Times New Roman" w:hAnsi="Segoe UI" w:cs="Segoe UI"/>
            <w:color w:val="0089E1"/>
            <w:sz w:val="18"/>
            <w:szCs w:val="18"/>
            <w:lang w:eastAsia="es-CO"/>
          </w:rPr>
          <w:t>703</w:t>
        </w:r>
      </w:hyperlink>
      <w:r w:rsidRPr="00FD3458">
        <w:rPr>
          <w:rFonts w:ascii="Segoe UI" w:eastAsia="Times New Roman" w:hAnsi="Segoe UI" w:cs="Segoe UI"/>
          <w:color w:val="000000"/>
          <w:sz w:val="18"/>
          <w:szCs w:val="18"/>
          <w:lang w:eastAsia="es-CO"/>
        </w:rPr>
        <w:t> </w:t>
      </w:r>
      <w:bookmarkStart w:id="11" w:name="_ftnref12"/>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"_ftn12"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[12]</w:t>
      </w:r>
      <w:r w:rsidRPr="00FD3458">
        <w:rPr>
          <w:rFonts w:ascii="Segoe UI" w:eastAsia="Times New Roman" w:hAnsi="Segoe UI" w:cs="Segoe UI"/>
          <w:color w:val="000000"/>
          <w:sz w:val="18"/>
          <w:szCs w:val="18"/>
          <w:lang w:eastAsia="es-CO"/>
        </w:rPr>
        <w:fldChar w:fldCharType="end"/>
      </w:r>
      <w:bookmarkEnd w:id="11"/>
      <w:r w:rsidRPr="00FD3458">
        <w:rPr>
          <w:rFonts w:ascii="Segoe UI" w:eastAsia="Times New Roman" w:hAnsi="Segoe UI" w:cs="Segoe UI"/>
          <w:color w:val="000000"/>
          <w:sz w:val="18"/>
          <w:szCs w:val="18"/>
          <w:lang w:eastAsia="es-CO"/>
        </w:rPr>
        <w:t> y </w:t>
      </w:r>
      <w:hyperlink r:id="rId27" w:tooltip="Estatuto Tributario CETA" w:history="1">
        <w:r w:rsidRPr="00FD3458">
          <w:rPr>
            <w:rFonts w:ascii="Segoe UI" w:eastAsia="Times New Roman" w:hAnsi="Segoe UI" w:cs="Segoe UI"/>
            <w:color w:val="0089E1"/>
            <w:sz w:val="18"/>
            <w:szCs w:val="18"/>
            <w:lang w:eastAsia="es-CO"/>
          </w:rPr>
          <w:t>712</w:t>
        </w:r>
      </w:hyperlink>
      <w:r w:rsidRPr="00FD3458">
        <w:rPr>
          <w:rFonts w:ascii="Segoe UI" w:eastAsia="Times New Roman" w:hAnsi="Segoe UI" w:cs="Segoe UI"/>
          <w:color w:val="000000"/>
          <w:sz w:val="18"/>
          <w:szCs w:val="18"/>
          <w:lang w:eastAsia="es-CO"/>
        </w:rPr>
        <w:t>literal g) del mismo ordenamiento</w:t>
      </w:r>
      <w:bookmarkStart w:id="12" w:name="_ftnref13"/>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"_ftn13"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[13]</w:t>
      </w:r>
      <w:r w:rsidRPr="00FD3458">
        <w:rPr>
          <w:rFonts w:ascii="Segoe UI" w:eastAsia="Times New Roman" w:hAnsi="Segoe UI" w:cs="Segoe UI"/>
          <w:color w:val="000000"/>
          <w:sz w:val="18"/>
          <w:szCs w:val="18"/>
          <w:lang w:eastAsia="es-CO"/>
        </w:rPr>
        <w:fldChar w:fldCharType="end"/>
      </w:r>
      <w:bookmarkEnd w:id="12"/>
      <w:r w:rsidRPr="00FD3458">
        <w:rPr>
          <w:rFonts w:ascii="Segoe UI" w:eastAsia="Times New Roman" w:hAnsi="Segoe UI" w:cs="Segoe UI"/>
          <w:color w:val="000000"/>
          <w:sz w:val="18"/>
          <w:szCs w:val="18"/>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1.8 Confrontadas las modificaciones propuestas en el requerimiento especial y en la liquidación oficial de revisión, la Sala concluye que estos actos guardan la debida correspondencia, porque en ambos, las glosas están relacionadas con: (i) la renta presuntiva por consignación en cuentas bancarias y de ahorro y (ii) la omisión en el registro de compras.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1.9 Es preciso mencionar que las cifras propuestas en el requerimiento especial no concuerdan con las previstas en la liquidación oficial de revisión, porque la DIAN, en el acto de determinación oficial del tributo tuvo en cuenta la corrección a la declaración presentada por el contribuyente, antes de que se expidiera el acto previo.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1.10 Las cifras declaradas por el contribuyente, en comparación con las determinadas por la DIAN</w:t>
      </w:r>
      <w:bookmarkStart w:id="13" w:name="_ftnref14"/>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"_ftn14"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[14]</w:t>
      </w:r>
      <w:r w:rsidRPr="00FD3458">
        <w:rPr>
          <w:rFonts w:ascii="Segoe UI" w:eastAsia="Times New Roman" w:hAnsi="Segoe UI" w:cs="Segoe UI"/>
          <w:color w:val="000000"/>
          <w:sz w:val="18"/>
          <w:szCs w:val="18"/>
          <w:lang w:eastAsia="es-CO"/>
        </w:rPr>
        <w:fldChar w:fldCharType="end"/>
      </w:r>
      <w:bookmarkEnd w:id="13"/>
      <w:r w:rsidRPr="00FD3458">
        <w:rPr>
          <w:rFonts w:ascii="Segoe UI" w:eastAsia="Times New Roman" w:hAnsi="Segoe UI" w:cs="Segoe UI"/>
          <w:color w:val="000000"/>
          <w:sz w:val="18"/>
          <w:szCs w:val="18"/>
          <w:lang w:eastAsia="es-CO"/>
        </w:rPr>
        <w:t>, son las siguientes:</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2090"/>
        <w:gridCol w:w="1520"/>
        <w:gridCol w:w="1882"/>
        <w:gridCol w:w="1672"/>
        <w:gridCol w:w="1605"/>
      </w:tblGrid>
      <w:tr w:rsidR="00FD3458" w:rsidRPr="00FD3458" w:rsidTr="00FD345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b/>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Declaración inicial</w:t>
            </w:r>
          </w:p>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26-04-2005</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Requerimiento Especial</w:t>
            </w:r>
          </w:p>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02-05-2007</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Declaración Corrección</w:t>
            </w:r>
          </w:p>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30-04-2007</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Liquidación Oficial</w:t>
            </w:r>
          </w:p>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15-01-2008</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Ingresos brutos operacionales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791.781.000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1.656.510.000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976.745.000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1.839.313.000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lastRenderedPageBreak/>
              <w:t>Intereses y rendimientos financieros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2.160.000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2.160.000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Total ingresos brutos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791.781.000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1.656.510.000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978.905.000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1.841.473.000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Total ingresos netos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791.781.000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1.656.510.000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978.905.000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1.841.473.000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Costos de 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752.201.000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747.020.000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928.565.000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928.565.000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Total deducciones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Renta líquida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35.440.000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905.350.000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46.200.000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908.768.000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Impuesto sobre la renta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3.384.000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305.136.000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6.342.000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306.333.000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Impuesto neto de renta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3.384.000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305.136.000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6.342.000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306.333.000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Sobretasa impuesto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338.000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30.514.000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634.000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30.633.000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Total impuesto a cargo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3.722.000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335.650.000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6.976.000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336.966.000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Total 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3.579.000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3.579.000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5.703.000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5.703.000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531.085.000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210.000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527.858.000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Total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863.156.000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1.483.000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859.121.000</w:t>
            </w:r>
          </w:p>
        </w:tc>
      </w:tr>
    </w:tbl>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1.11 La Sala pone de presente que como el contribuyente corrigió la declaración inicial para adicionar ingresos operacionales, la DIAN, al proferir la liquidación oficial de revisión, tuvo en cuenta esta </w:t>
      </w:r>
      <w:proofErr w:type="spellStart"/>
      <w:r w:rsidRPr="00FD3458">
        <w:rPr>
          <w:rFonts w:ascii="Segoe UI" w:eastAsia="Times New Roman" w:hAnsi="Segoe UI" w:cs="Segoe UI"/>
          <w:color w:val="000000"/>
          <w:sz w:val="18"/>
          <w:szCs w:val="18"/>
          <w:lang w:eastAsia="es-CO"/>
        </w:rPr>
        <w:t>adición</w:t>
      </w:r>
      <w:proofErr w:type="spellEnd"/>
      <w:r w:rsidRPr="00FD3458">
        <w:rPr>
          <w:rFonts w:ascii="Segoe UI" w:eastAsia="Times New Roman" w:hAnsi="Segoe UI" w:cs="Segoe UI"/>
          <w:color w:val="000000"/>
          <w:sz w:val="18"/>
          <w:szCs w:val="18"/>
          <w:lang w:eastAsia="es-CO"/>
        </w:rPr>
        <w:t>, pero, además, mantuvo el cálculo de la renta presuntiva propuesto en el requerimiento especial, sin disminuir la suma reconocida con ocasión de la corrección a la declaración</w:t>
      </w:r>
      <w:bookmarkStart w:id="14" w:name="_ftnref15"/>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"_ftn15"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[15]</w:t>
      </w:r>
      <w:r w:rsidRPr="00FD3458">
        <w:rPr>
          <w:rFonts w:ascii="Segoe UI" w:eastAsia="Times New Roman" w:hAnsi="Segoe UI" w:cs="Segoe UI"/>
          <w:color w:val="000000"/>
          <w:sz w:val="18"/>
          <w:szCs w:val="18"/>
          <w:lang w:eastAsia="es-CO"/>
        </w:rPr>
        <w:fldChar w:fldCharType="end"/>
      </w:r>
      <w:bookmarkEnd w:id="14"/>
      <w:r w:rsidRPr="00FD3458">
        <w:rPr>
          <w:rFonts w:ascii="Segoe UI" w:eastAsia="Times New Roman" w:hAnsi="Segoe UI" w:cs="Segoe UI"/>
          <w:color w:val="000000"/>
          <w:sz w:val="18"/>
          <w:szCs w:val="18"/>
          <w:lang w:eastAsia="es-CO"/>
        </w:rPr>
        <w:t>, lo que explica el incremento que surge al comparar el acto previo con el definitivo, cuestión que descarta la falta de correspondencia entre dichos actos.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1.12 Asunto diferente es determinar si el cálculo realizado en la liquidación oficial de revisión, conforme con la corrección a la declaración presentada por el contribuyente, es el correcto.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1.13 Por lo expuesto, se concluye lo siguiente: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1.13.1 No es causal de nulidad que el requerimiento especial se base en la declaración inicial y no en su corrección, porque el contribuyente, para la fecha en la que se expidió el acto previo, no había cumplido con la obligación de informarle a la DIAN de su existencia.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1.13.2 En este asunto no se cumplieron los supuestos previstos en la norma para que proceda la ampliación al requerimiento especial.</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1.13.3 El requerimiento especial y la liquidación oficial de revisión guardan correspondencia en los hechos.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1.13.4 La diferencia entre la liquidación propuesta en el requerimiento especial, en comparación con la liquidación oficial definitiva, surgió a raíz de que en esta última se tuvo en cuenta la declaración de corrección presentada de manera voluntaria por el contribuyente.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1.14 Por lo anterior, se descarta la nulidad de la actuación demandada, por los cargos analizados.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2. La presunción de ingresos por omisión del registro de compras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2.1 En la actuación administrativa, la DIAN determinó que el señor Pasión Peña Castro dejó de registrar en su contabilidad y, por ende, en la declaración de renta del año 2004, la suma de $725.748.979 por concepto de compras realizadas a nombre propio y de terceros.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2.2 Para la parte actora, la DIAN aplicó indebidamente la presunción prevista en el </w:t>
      </w:r>
      <w:hyperlink r:id="rId28" w:tooltip="Estatuto Tributario CETA" w:history="1">
        <w:r w:rsidRPr="00FD3458">
          <w:rPr>
            <w:rFonts w:ascii="Segoe UI" w:eastAsia="Times New Roman" w:hAnsi="Segoe UI" w:cs="Segoe UI"/>
            <w:color w:val="0089E1"/>
            <w:sz w:val="18"/>
            <w:szCs w:val="18"/>
            <w:lang w:eastAsia="es-CO"/>
          </w:rPr>
          <w:t>artículo 760</w:t>
        </w:r>
      </w:hyperlink>
      <w:r w:rsidRPr="00FD3458">
        <w:rPr>
          <w:rFonts w:ascii="Segoe UI" w:eastAsia="Times New Roman" w:hAnsi="Segoe UI" w:cs="Segoe UI"/>
          <w:color w:val="000000"/>
          <w:sz w:val="18"/>
          <w:szCs w:val="18"/>
          <w:lang w:eastAsia="es-CO"/>
        </w:rPr>
        <w:t> del ET, porque partió de un supuesto que la norma no prevé, la omisión de ingresos por parte de terceros.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2.3 Al respecto, la Sala advierte que el </w:t>
      </w:r>
      <w:hyperlink r:id="rId29" w:tooltip="Estatuto Tributario CETA" w:history="1">
        <w:r w:rsidRPr="00FD3458">
          <w:rPr>
            <w:rFonts w:ascii="Segoe UI" w:eastAsia="Times New Roman" w:hAnsi="Segoe UI" w:cs="Segoe UI"/>
            <w:color w:val="0089E1"/>
            <w:sz w:val="18"/>
            <w:szCs w:val="18"/>
            <w:lang w:eastAsia="es-CO"/>
          </w:rPr>
          <w:t>artículo 760</w:t>
        </w:r>
      </w:hyperlink>
      <w:r w:rsidRPr="00FD3458">
        <w:rPr>
          <w:rFonts w:ascii="Segoe UI" w:eastAsia="Times New Roman" w:hAnsi="Segoe UI" w:cs="Segoe UI"/>
          <w:color w:val="000000"/>
          <w:sz w:val="18"/>
          <w:szCs w:val="18"/>
          <w:lang w:eastAsia="es-CO"/>
        </w:rPr>
        <w:t> del ET, en su inciso primero, dispone que </w:t>
      </w:r>
      <w:r w:rsidRPr="00FD3458">
        <w:rPr>
          <w:rFonts w:ascii="Segoe UI" w:eastAsia="Times New Roman" w:hAnsi="Segoe UI" w:cs="Segoe UI"/>
          <w:i/>
          <w:iCs/>
          <w:color w:val="000000"/>
          <w:sz w:val="18"/>
          <w:szCs w:val="18"/>
          <w:lang w:eastAsia="es-CO"/>
        </w:rPr>
        <w:t>“[c]</w:t>
      </w:r>
      <w:proofErr w:type="spellStart"/>
      <w:r w:rsidRPr="00FD3458">
        <w:rPr>
          <w:rFonts w:ascii="Segoe UI" w:eastAsia="Times New Roman" w:hAnsi="Segoe UI" w:cs="Segoe UI"/>
          <w:i/>
          <w:iCs/>
          <w:color w:val="000000"/>
          <w:sz w:val="18"/>
          <w:szCs w:val="18"/>
          <w:lang w:eastAsia="es-CO"/>
        </w:rPr>
        <w:t>uando</w:t>
      </w:r>
      <w:proofErr w:type="spellEnd"/>
      <w:r w:rsidRPr="00FD3458">
        <w:rPr>
          <w:rFonts w:ascii="Segoe UI" w:eastAsia="Times New Roman" w:hAnsi="Segoe UI" w:cs="Segoe UI"/>
          <w:i/>
          <w:iCs/>
          <w:color w:val="000000"/>
          <w:sz w:val="18"/>
          <w:szCs w:val="18"/>
          <w:lang w:eastAsia="es-CO"/>
        </w:rPr>
        <w:t> se constate que el responsable ha omitido registrar compras destinadas a las operaciones gravadas, se presumirá como ingreso gravado omitido el resultado que se obtenga al efectuar el siguiente cálculo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i/>
          <w:iCs/>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Esta presunción de ingresos por omisión del registro de compras también aplica para el impuesto sobre la renta, porque así lo previó el artículo 58 de la Ley 6 de 1992, que adicionó el inciso quinto del </w:t>
      </w:r>
      <w:hyperlink r:id="rId30" w:tooltip="Estatuto Tributario CETA" w:history="1">
        <w:r w:rsidRPr="00FD3458">
          <w:rPr>
            <w:rFonts w:ascii="Segoe UI" w:eastAsia="Times New Roman" w:hAnsi="Segoe UI" w:cs="Segoe UI"/>
            <w:color w:val="0089E1"/>
            <w:sz w:val="22"/>
            <w:lang w:eastAsia="es-CO"/>
          </w:rPr>
          <w:t>artículo 760</w:t>
        </w:r>
      </w:hyperlink>
      <w:r w:rsidRPr="00FD3458">
        <w:rPr>
          <w:rFonts w:ascii="Segoe UI" w:eastAsia="Times New Roman" w:hAnsi="Segoe UI" w:cs="Segoe UI"/>
          <w:color w:val="000000"/>
          <w:sz w:val="22"/>
          <w:lang w:eastAsia="es-CO"/>
        </w:rPr>
        <w:t> ib., en los siguientes términos: </w:t>
      </w:r>
      <w:r w:rsidRPr="00FD3458">
        <w:rPr>
          <w:rFonts w:ascii="Segoe UI" w:eastAsia="Times New Roman" w:hAnsi="Segoe UI" w:cs="Segoe UI"/>
          <w:i/>
          <w:iCs/>
          <w:color w:val="000000"/>
          <w:sz w:val="22"/>
          <w:lang w:eastAsia="es-CO"/>
        </w:rPr>
        <w:t xml:space="preserve">"[l]o dispuesto en este artículo permitirá presumir igualmente que el contribuyente del impuesto sobre la renta y complementarios ha omitido ingresos, constitutivos de renta líquida gravable, en la </w:t>
      </w:r>
      <w:r w:rsidRPr="00FD3458">
        <w:rPr>
          <w:rFonts w:ascii="Segoe UI" w:eastAsia="Times New Roman" w:hAnsi="Segoe UI" w:cs="Segoe UI"/>
          <w:i/>
          <w:iCs/>
          <w:color w:val="000000"/>
          <w:sz w:val="22"/>
          <w:lang w:eastAsia="es-CO"/>
        </w:rPr>
        <w:lastRenderedPageBreak/>
        <w:t>declaración del respectivo año o período gravable por igual cuantía a la establecida en la forma aquí prevista".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2.4 Conforme con la norma en cita, la presunción de ingresos parte del presupuesto de que cuando el contribuyente no informa las compras destinadas a operaciones gravadas, evita reportar costos para omitir ingresos, por esto, es viable que dicha presunción aplique, incluso, en aquellos casos en los que el contribuyente acude a terceros para omitir ingresos, porque el legislador no hizo distinción de las razones o de los medios de que el contribuyente se valga para ocultar la realidad de las operaciones.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Es decir, no solo se presume que existe omisión de compras cuando el contribuyente omite registrar las facturas expedidas a su nombre, también es posible aplicar esta presunción cuando la Administración encuentra serios indicios de que este se ha valido de diversos medios o de terceras personas para no revelar las compras destinadas a su actividad económica o generadora de renta.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2.5 De esta manera, verificada la omisión de registro de las compras, procede la aplicación de la presunción, que como ha dicho la Sala, admite prueba en contrario, correspondiéndole al contribuyente la carga probatoria de desvirtuarla</w:t>
      </w:r>
      <w:bookmarkStart w:id="15" w:name="_ftnref16"/>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"_ftn16"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[16]</w:t>
      </w:r>
      <w:r w:rsidRPr="00FD3458">
        <w:rPr>
          <w:rFonts w:ascii="Segoe UI" w:eastAsia="Times New Roman" w:hAnsi="Segoe UI" w:cs="Segoe UI"/>
          <w:color w:val="000000"/>
          <w:sz w:val="18"/>
          <w:szCs w:val="18"/>
          <w:lang w:eastAsia="es-CO"/>
        </w:rPr>
        <w:fldChar w:fldCharType="end"/>
      </w:r>
      <w:bookmarkEnd w:id="15"/>
      <w:r w:rsidRPr="00FD3458">
        <w:rPr>
          <w:rFonts w:ascii="Segoe UI" w:eastAsia="Times New Roman" w:hAnsi="Segoe UI" w:cs="Segoe UI"/>
          <w:color w:val="000000"/>
          <w:sz w:val="18"/>
          <w:szCs w:val="18"/>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2.6 En este caso, la DIAN evidenció que el contribuyente omitió registrar compras por la suma de $725.748.979, que conforme con la relación anexa al requerimiento especial y a la liquidación oficial de revisión, se distribuyen así:</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2.6.1 Facturas por $99.517.798 expedidas por Promotora de Negocios Internacionales, Colombina S.A., </w:t>
      </w:r>
      <w:proofErr w:type="spellStart"/>
      <w:r w:rsidRPr="00FD3458">
        <w:rPr>
          <w:rFonts w:ascii="Segoe UI" w:eastAsia="Times New Roman" w:hAnsi="Segoe UI" w:cs="Segoe UI"/>
          <w:color w:val="000000"/>
          <w:sz w:val="18"/>
          <w:szCs w:val="18"/>
          <w:lang w:eastAsia="es-CO"/>
        </w:rPr>
        <w:t>Eveready</w:t>
      </w:r>
      <w:proofErr w:type="spellEnd"/>
      <w:r w:rsidRPr="00FD3458">
        <w:rPr>
          <w:rFonts w:ascii="Segoe UI" w:eastAsia="Times New Roman" w:hAnsi="Segoe UI" w:cs="Segoe UI"/>
          <w:color w:val="000000"/>
          <w:sz w:val="18"/>
          <w:szCs w:val="18"/>
          <w:lang w:eastAsia="es-CO"/>
        </w:rPr>
        <w:t xml:space="preserve"> de Colombia S.A., </w:t>
      </w:r>
      <w:proofErr w:type="spellStart"/>
      <w:r w:rsidRPr="00FD3458">
        <w:rPr>
          <w:rFonts w:ascii="Segoe UI" w:eastAsia="Times New Roman" w:hAnsi="Segoe UI" w:cs="Segoe UI"/>
          <w:color w:val="000000"/>
          <w:sz w:val="18"/>
          <w:szCs w:val="18"/>
          <w:lang w:eastAsia="es-CO"/>
        </w:rPr>
        <w:t>Tecnoquímicas</w:t>
      </w:r>
      <w:proofErr w:type="spellEnd"/>
      <w:r w:rsidRPr="00FD3458">
        <w:rPr>
          <w:rFonts w:ascii="Segoe UI" w:eastAsia="Times New Roman" w:hAnsi="Segoe UI" w:cs="Segoe UI"/>
          <w:color w:val="000000"/>
          <w:sz w:val="18"/>
          <w:szCs w:val="18"/>
          <w:lang w:eastAsia="es-CO"/>
        </w:rPr>
        <w:t xml:space="preserve"> S.A., </w:t>
      </w:r>
      <w:proofErr w:type="spellStart"/>
      <w:r w:rsidRPr="00FD3458">
        <w:rPr>
          <w:rFonts w:ascii="Segoe UI" w:eastAsia="Times New Roman" w:hAnsi="Segoe UI" w:cs="Segoe UI"/>
          <w:color w:val="000000"/>
          <w:sz w:val="18"/>
          <w:szCs w:val="18"/>
          <w:lang w:eastAsia="es-CO"/>
        </w:rPr>
        <w:t>Distrinare</w:t>
      </w:r>
      <w:proofErr w:type="spellEnd"/>
      <w:r w:rsidRPr="00FD3458">
        <w:rPr>
          <w:rFonts w:ascii="Segoe UI" w:eastAsia="Times New Roman" w:hAnsi="Segoe UI" w:cs="Segoe UI"/>
          <w:color w:val="000000"/>
          <w:sz w:val="18"/>
          <w:szCs w:val="18"/>
          <w:lang w:eastAsia="es-CO"/>
        </w:rPr>
        <w:t>, Industria Licorera de Boyacá e Hincapié y Cía. Ltda., que aparecen a nombre del señor Pasión Peña, pese a lo cual, no fueron registradas en su contabilidad.</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2.6.2 Facturas por $84.488.512 expedidas por </w:t>
      </w:r>
      <w:proofErr w:type="spellStart"/>
      <w:r w:rsidRPr="00FD3458">
        <w:rPr>
          <w:rFonts w:ascii="Segoe UI" w:eastAsia="Times New Roman" w:hAnsi="Segoe UI" w:cs="Segoe UI"/>
          <w:color w:val="000000"/>
          <w:sz w:val="18"/>
          <w:szCs w:val="18"/>
          <w:lang w:eastAsia="es-CO"/>
        </w:rPr>
        <w:t>Torrecafé</w:t>
      </w:r>
      <w:proofErr w:type="spellEnd"/>
      <w:r w:rsidRPr="00FD3458">
        <w:rPr>
          <w:rFonts w:ascii="Segoe UI" w:eastAsia="Times New Roman" w:hAnsi="Segoe UI" w:cs="Segoe UI"/>
          <w:color w:val="000000"/>
          <w:sz w:val="18"/>
          <w:szCs w:val="18"/>
          <w:lang w:eastAsia="es-CO"/>
        </w:rPr>
        <w:t xml:space="preserve"> Águila Roja S.A., respecto de las que el proveedor informó que, por error, se diligenciaron a nombre del señor Ernesto Camacho, aunque las compras corresponden al señor Pasión Peña.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2.6.3 Facturas por $65.900.185 expedidas por Colombina S.A. a nombre de la señora Ninfa Rocha.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2.6.4 Facturas por $292.369.869 expedidas por Harinera del Valle S.A. a nombre del señor José Benítez Ortega.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2.6.5 Facturas expedidas por Distribuidora Pastor Julio y Cía. LTDA., a nombre del señor Omar García, por 183.472.925.</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2.7 Comoquiera que con ocasión de la respuesta al requerimiento especial el contribuyente manifestó que </w:t>
      </w:r>
      <w:r w:rsidRPr="00FD3458">
        <w:rPr>
          <w:rFonts w:ascii="Segoe UI" w:eastAsia="Times New Roman" w:hAnsi="Segoe UI" w:cs="Segoe UI"/>
          <w:i/>
          <w:iCs/>
          <w:color w:val="000000"/>
          <w:sz w:val="18"/>
          <w:szCs w:val="18"/>
          <w:lang w:eastAsia="es-CO"/>
        </w:rPr>
        <w:t>“en virtud de las observaciones formuladas en el Acta de Inspección Contable, realizada durante los días 12 y 13 de Febrero de 2007, en la cuales se incluyeron las transacciones relacionadas con la omisión de compras en cuantía de $184.006.000, las cuales sí fueron aceptadas como error en la contabilización y en tal virtud se adicionaron en la forma explicada”</w:t>
      </w:r>
      <w:bookmarkStart w:id="16" w:name="_ftnref17"/>
      <w:r w:rsidRPr="00FD3458">
        <w:rPr>
          <w:rFonts w:ascii="Segoe UI" w:eastAsia="Times New Roman" w:hAnsi="Segoe UI" w:cs="Segoe UI"/>
          <w:i/>
          <w:iCs/>
          <w:color w:val="000000"/>
          <w:sz w:val="18"/>
          <w:szCs w:val="18"/>
          <w:lang w:eastAsia="es-CO"/>
        </w:rPr>
        <w:fldChar w:fldCharType="begin"/>
      </w:r>
      <w:r w:rsidRPr="00FD3458">
        <w:rPr>
          <w:rFonts w:ascii="Segoe UI" w:eastAsia="Times New Roman" w:hAnsi="Segoe UI" w:cs="Segoe UI"/>
          <w:i/>
          <w:iCs/>
          <w:color w:val="000000"/>
          <w:sz w:val="18"/>
          <w:szCs w:val="18"/>
          <w:lang w:eastAsia="es-CO"/>
        </w:rPr>
        <w:instrText xml:space="preserve"> HYPERLINK "https://www.ceta.org.co/html/vista_de_un_documento.asp?DocumentoID=36544" \l "_ftn17" \o "" </w:instrText>
      </w:r>
      <w:r w:rsidRPr="00FD3458">
        <w:rPr>
          <w:rFonts w:ascii="Segoe UI" w:eastAsia="Times New Roman" w:hAnsi="Segoe UI" w:cs="Segoe UI"/>
          <w:i/>
          <w:iCs/>
          <w:color w:val="000000"/>
          <w:sz w:val="18"/>
          <w:szCs w:val="18"/>
          <w:lang w:eastAsia="es-CO"/>
        </w:rPr>
        <w:fldChar w:fldCharType="separate"/>
      </w:r>
      <w:r w:rsidRPr="00FD3458">
        <w:rPr>
          <w:rFonts w:ascii="Segoe UI" w:eastAsia="Times New Roman" w:hAnsi="Segoe UI" w:cs="Segoe UI"/>
          <w:b/>
          <w:bCs/>
          <w:i/>
          <w:iCs/>
          <w:color w:val="0089E1"/>
          <w:sz w:val="22"/>
          <w:lang w:eastAsia="es-CO"/>
        </w:rPr>
        <w:t>[17]</w:t>
      </w:r>
      <w:r w:rsidRPr="00FD3458">
        <w:rPr>
          <w:rFonts w:ascii="Segoe UI" w:eastAsia="Times New Roman" w:hAnsi="Segoe UI" w:cs="Segoe UI"/>
          <w:i/>
          <w:iCs/>
          <w:color w:val="000000"/>
          <w:sz w:val="18"/>
          <w:szCs w:val="18"/>
          <w:lang w:eastAsia="es-CO"/>
        </w:rPr>
        <w:fldChar w:fldCharType="end"/>
      </w:r>
      <w:bookmarkEnd w:id="16"/>
      <w:r w:rsidRPr="00FD3458">
        <w:rPr>
          <w:rFonts w:ascii="Segoe UI" w:eastAsia="Times New Roman" w:hAnsi="Segoe UI" w:cs="Segoe UI"/>
          <w:i/>
          <w:iCs/>
          <w:color w:val="000000"/>
          <w:sz w:val="18"/>
          <w:szCs w:val="18"/>
          <w:lang w:eastAsia="es-CO"/>
        </w:rPr>
        <w:t>, </w:t>
      </w:r>
      <w:r w:rsidRPr="00FD3458">
        <w:rPr>
          <w:rFonts w:ascii="Segoe UI" w:eastAsia="Times New Roman" w:hAnsi="Segoe UI" w:cs="Segoe UI"/>
          <w:color w:val="000000"/>
          <w:sz w:val="18"/>
          <w:szCs w:val="18"/>
          <w:lang w:eastAsia="es-CO"/>
        </w:rPr>
        <w:t xml:space="preserve">se concluye que el demandante aceptó y, por ende, incluyó como ingreso la suma de $184.006.000, que corresponde a la sumatoria de las facturas expedidas por Promotora de Negocios Internacionales, Colombina S.A., </w:t>
      </w:r>
      <w:proofErr w:type="spellStart"/>
      <w:r w:rsidRPr="00FD3458">
        <w:rPr>
          <w:rFonts w:ascii="Segoe UI" w:eastAsia="Times New Roman" w:hAnsi="Segoe UI" w:cs="Segoe UI"/>
          <w:color w:val="000000"/>
          <w:sz w:val="18"/>
          <w:szCs w:val="18"/>
          <w:lang w:eastAsia="es-CO"/>
        </w:rPr>
        <w:t>Eveready</w:t>
      </w:r>
      <w:proofErr w:type="spellEnd"/>
      <w:r w:rsidRPr="00FD3458">
        <w:rPr>
          <w:rFonts w:ascii="Segoe UI" w:eastAsia="Times New Roman" w:hAnsi="Segoe UI" w:cs="Segoe UI"/>
          <w:color w:val="000000"/>
          <w:sz w:val="18"/>
          <w:szCs w:val="18"/>
          <w:lang w:eastAsia="es-CO"/>
        </w:rPr>
        <w:t xml:space="preserve"> de Colombia S.A., </w:t>
      </w:r>
      <w:proofErr w:type="spellStart"/>
      <w:r w:rsidRPr="00FD3458">
        <w:rPr>
          <w:rFonts w:ascii="Segoe UI" w:eastAsia="Times New Roman" w:hAnsi="Segoe UI" w:cs="Segoe UI"/>
          <w:color w:val="000000"/>
          <w:sz w:val="18"/>
          <w:szCs w:val="18"/>
          <w:lang w:eastAsia="es-CO"/>
        </w:rPr>
        <w:t>Tecnoquímicas</w:t>
      </w:r>
      <w:proofErr w:type="spellEnd"/>
      <w:r w:rsidRPr="00FD3458">
        <w:rPr>
          <w:rFonts w:ascii="Segoe UI" w:eastAsia="Times New Roman" w:hAnsi="Segoe UI" w:cs="Segoe UI"/>
          <w:color w:val="000000"/>
          <w:sz w:val="18"/>
          <w:szCs w:val="18"/>
          <w:lang w:eastAsia="es-CO"/>
        </w:rPr>
        <w:t xml:space="preserve"> S.A., </w:t>
      </w:r>
      <w:proofErr w:type="spellStart"/>
      <w:r w:rsidRPr="00FD3458">
        <w:rPr>
          <w:rFonts w:ascii="Segoe UI" w:eastAsia="Times New Roman" w:hAnsi="Segoe UI" w:cs="Segoe UI"/>
          <w:color w:val="000000"/>
          <w:sz w:val="18"/>
          <w:szCs w:val="18"/>
          <w:lang w:eastAsia="es-CO"/>
        </w:rPr>
        <w:t>Distrinare</w:t>
      </w:r>
      <w:proofErr w:type="spellEnd"/>
      <w:r w:rsidRPr="00FD3458">
        <w:rPr>
          <w:rFonts w:ascii="Segoe UI" w:eastAsia="Times New Roman" w:hAnsi="Segoe UI" w:cs="Segoe UI"/>
          <w:color w:val="000000"/>
          <w:sz w:val="18"/>
          <w:szCs w:val="18"/>
          <w:lang w:eastAsia="es-CO"/>
        </w:rPr>
        <w:t xml:space="preserve">, Industria Licorera de Boyacá, Hincapié y Cía. Ltda. y </w:t>
      </w:r>
      <w:proofErr w:type="spellStart"/>
      <w:r w:rsidRPr="00FD3458">
        <w:rPr>
          <w:rFonts w:ascii="Segoe UI" w:eastAsia="Times New Roman" w:hAnsi="Segoe UI" w:cs="Segoe UI"/>
          <w:color w:val="000000"/>
          <w:sz w:val="18"/>
          <w:szCs w:val="18"/>
          <w:lang w:eastAsia="es-CO"/>
        </w:rPr>
        <w:t>Torrecafé</w:t>
      </w:r>
      <w:proofErr w:type="spellEnd"/>
      <w:r w:rsidRPr="00FD3458">
        <w:rPr>
          <w:rFonts w:ascii="Segoe UI" w:eastAsia="Times New Roman" w:hAnsi="Segoe UI" w:cs="Segoe UI"/>
          <w:color w:val="000000"/>
          <w:sz w:val="18"/>
          <w:szCs w:val="18"/>
          <w:lang w:eastAsia="es-CO"/>
        </w:rPr>
        <w:t xml:space="preserve"> Águila Roja S.A. (numerales 2.6.1 y 2.6.2 de esta providencia).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2.8 Por lo tanto, la discusión se centra en la suma de $541.742.669 que corresponde a las cifras reportadas por Colombina S.A., Harinera del Valle S.A. y Distribuidora Pastor Julio y Cía. LTDA., a nombre de terceros, pero que la DIAN, aseguró que corresponden a compras del demandante.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2.8.1 En el caso de la señora</w:t>
      </w:r>
      <w:r w:rsidRPr="00FD3458">
        <w:rPr>
          <w:rFonts w:ascii="Segoe UI" w:eastAsia="Times New Roman" w:hAnsi="Segoe UI" w:cs="Segoe UI"/>
          <w:b/>
          <w:bCs/>
          <w:color w:val="000000"/>
          <w:sz w:val="18"/>
          <w:szCs w:val="18"/>
          <w:lang w:eastAsia="es-CO"/>
        </w:rPr>
        <w:t> </w:t>
      </w:r>
      <w:r w:rsidRPr="00FD3458">
        <w:rPr>
          <w:rFonts w:ascii="Segoe UI" w:eastAsia="Times New Roman" w:hAnsi="Segoe UI" w:cs="Segoe UI"/>
          <w:color w:val="000000"/>
          <w:sz w:val="18"/>
          <w:szCs w:val="18"/>
          <w:lang w:eastAsia="es-CO"/>
        </w:rPr>
        <w:t>Ninfa Rocha se advierte lo siguiente: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2.8.1.1 Para la DIAN, constituyó un indicio serio que la señora Ninfa Rocha haya desempeñado su actividad comercial hasta junio de 2004 y que, pese a que el contribuyente afirmó que </w:t>
      </w:r>
      <w:r w:rsidRPr="00FD3458">
        <w:rPr>
          <w:rFonts w:ascii="Segoe UI" w:eastAsia="Times New Roman" w:hAnsi="Segoe UI" w:cs="Segoe UI"/>
          <w:i/>
          <w:iCs/>
          <w:color w:val="000000"/>
          <w:sz w:val="18"/>
          <w:szCs w:val="18"/>
          <w:lang w:eastAsia="es-CO"/>
        </w:rPr>
        <w:t>“continúo”</w:t>
      </w:r>
      <w:r w:rsidRPr="00FD3458">
        <w:rPr>
          <w:rFonts w:ascii="Segoe UI" w:eastAsia="Times New Roman" w:hAnsi="Segoe UI" w:cs="Segoe UI"/>
          <w:color w:val="000000"/>
          <w:sz w:val="18"/>
          <w:szCs w:val="18"/>
          <w:lang w:eastAsia="es-CO"/>
        </w:rPr>
        <w:t> con dicha actividad a partir de julio de ese año, en el curso de la investigación se encontraron facturas expedidas a nombre de la citada señora, en relación con mercancía que se despachó a la dirección fiscal del contribuyente Pasión Peña Castro</w:t>
      </w:r>
      <w:bookmarkStart w:id="17" w:name="_ftnref18"/>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"_ftn18"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[18]</w:t>
      </w:r>
      <w:r w:rsidRPr="00FD3458">
        <w:rPr>
          <w:rFonts w:ascii="Segoe UI" w:eastAsia="Times New Roman" w:hAnsi="Segoe UI" w:cs="Segoe UI"/>
          <w:color w:val="000000"/>
          <w:sz w:val="18"/>
          <w:szCs w:val="18"/>
          <w:lang w:eastAsia="es-CO"/>
        </w:rPr>
        <w:fldChar w:fldCharType="end"/>
      </w:r>
      <w:bookmarkEnd w:id="17"/>
      <w:r w:rsidRPr="00FD3458">
        <w:rPr>
          <w:rFonts w:ascii="Segoe UI" w:eastAsia="Times New Roman" w:hAnsi="Segoe UI" w:cs="Segoe UI"/>
          <w:color w:val="000000"/>
          <w:sz w:val="18"/>
          <w:szCs w:val="18"/>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2.8.1.2 Para decidir, se advierte que en el expediente está probado lo siguiente: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(i) </w:t>
      </w:r>
      <w:proofErr w:type="gramStart"/>
      <w:r w:rsidRPr="00FD3458">
        <w:rPr>
          <w:rFonts w:ascii="Segoe UI" w:eastAsia="Times New Roman" w:hAnsi="Segoe UI" w:cs="Segoe UI"/>
          <w:color w:val="000000"/>
          <w:sz w:val="18"/>
          <w:szCs w:val="18"/>
          <w:lang w:eastAsia="es-CO"/>
        </w:rPr>
        <w:t>Que</w:t>
      </w:r>
      <w:proofErr w:type="gramEnd"/>
      <w:r w:rsidRPr="00FD3458">
        <w:rPr>
          <w:rFonts w:ascii="Segoe UI" w:eastAsia="Times New Roman" w:hAnsi="Segoe UI" w:cs="Segoe UI"/>
          <w:color w:val="000000"/>
          <w:sz w:val="18"/>
          <w:szCs w:val="18"/>
          <w:lang w:eastAsia="es-CO"/>
        </w:rPr>
        <w:t xml:space="preserve"> durante el año 2004, tanto la señora Ninfa Rocha como el señor Pasión Peña Castro tuvieron en común un establecimiento de comercio para el desarrollo de su actividad comercial, cuestión que no es objeto de controversia.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Así se desprende del acta de la inspección contable realizada el 12 de febrero de 2007</w:t>
      </w:r>
      <w:bookmarkStart w:id="18" w:name="_ftnref19"/>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"_ftn19"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[19]</w:t>
      </w:r>
      <w:r w:rsidRPr="00FD3458">
        <w:rPr>
          <w:rFonts w:ascii="Segoe UI" w:eastAsia="Times New Roman" w:hAnsi="Segoe UI" w:cs="Segoe UI"/>
          <w:color w:val="000000"/>
          <w:sz w:val="18"/>
          <w:szCs w:val="18"/>
          <w:lang w:eastAsia="es-CO"/>
        </w:rPr>
        <w:fldChar w:fldCharType="end"/>
      </w:r>
      <w:bookmarkEnd w:id="18"/>
      <w:r w:rsidRPr="00FD3458">
        <w:rPr>
          <w:rFonts w:ascii="Segoe UI" w:eastAsia="Times New Roman" w:hAnsi="Segoe UI" w:cs="Segoe UI"/>
          <w:color w:val="000000"/>
          <w:sz w:val="18"/>
          <w:szCs w:val="18"/>
          <w:lang w:eastAsia="es-CO"/>
        </w:rPr>
        <w:t> y del acta de visita de verificación de 13 de febrero de 2007, en las que consta que el demandante afirmó que desde el mes de julio de 2004 inició actividades y que </w:t>
      </w:r>
      <w:r w:rsidRPr="00FD3458">
        <w:rPr>
          <w:rFonts w:ascii="Segoe UI" w:eastAsia="Times New Roman" w:hAnsi="Segoe UI" w:cs="Segoe UI"/>
          <w:i/>
          <w:iCs/>
          <w:color w:val="000000"/>
          <w:sz w:val="18"/>
          <w:szCs w:val="18"/>
          <w:lang w:eastAsia="es-CO"/>
        </w:rPr>
        <w:t xml:space="preserve">“hasta junio de ese año la actividad a través del establecimiento la había </w:t>
      </w:r>
      <w:r w:rsidRPr="00FD3458">
        <w:rPr>
          <w:rFonts w:ascii="Segoe UI" w:eastAsia="Times New Roman" w:hAnsi="Segoe UI" w:cs="Segoe UI"/>
          <w:i/>
          <w:iCs/>
          <w:color w:val="000000"/>
          <w:sz w:val="18"/>
          <w:szCs w:val="18"/>
          <w:lang w:eastAsia="es-CO"/>
        </w:rPr>
        <w:lastRenderedPageBreak/>
        <w:t xml:space="preserve">desarrollado la señora Ninfa Rocha </w:t>
      </w:r>
      <w:proofErr w:type="spellStart"/>
      <w:r w:rsidRPr="00FD3458">
        <w:rPr>
          <w:rFonts w:ascii="Segoe UI" w:eastAsia="Times New Roman" w:hAnsi="Segoe UI" w:cs="Segoe UI"/>
          <w:i/>
          <w:iCs/>
          <w:color w:val="000000"/>
          <w:sz w:val="18"/>
          <w:szCs w:val="18"/>
          <w:lang w:eastAsia="es-CO"/>
        </w:rPr>
        <w:t>Nit</w:t>
      </w:r>
      <w:proofErr w:type="spellEnd"/>
      <w:r w:rsidRPr="00FD3458">
        <w:rPr>
          <w:rFonts w:ascii="Segoe UI" w:eastAsia="Times New Roman" w:hAnsi="Segoe UI" w:cs="Segoe UI"/>
          <w:i/>
          <w:iCs/>
          <w:color w:val="000000"/>
          <w:sz w:val="18"/>
          <w:szCs w:val="18"/>
          <w:lang w:eastAsia="es-CO"/>
        </w:rPr>
        <w:t xml:space="preserve">. 23.493.795, quien había presentado las respectivas declaraciones de renta y de </w:t>
      </w:r>
      <w:proofErr w:type="spellStart"/>
      <w:r w:rsidRPr="00FD3458">
        <w:rPr>
          <w:rFonts w:ascii="Segoe UI" w:eastAsia="Times New Roman" w:hAnsi="Segoe UI" w:cs="Segoe UI"/>
          <w:i/>
          <w:iCs/>
          <w:color w:val="000000"/>
          <w:sz w:val="18"/>
          <w:szCs w:val="18"/>
          <w:lang w:eastAsia="es-CO"/>
        </w:rPr>
        <w:t>iva</w:t>
      </w:r>
      <w:proofErr w:type="spellEnd"/>
      <w:r w:rsidRPr="00FD3458">
        <w:rPr>
          <w:rFonts w:ascii="Segoe UI" w:eastAsia="Times New Roman" w:hAnsi="Segoe UI" w:cs="Segoe UI"/>
          <w:i/>
          <w:iCs/>
          <w:color w:val="000000"/>
          <w:sz w:val="18"/>
          <w:szCs w:val="18"/>
          <w:lang w:eastAsia="es-CO"/>
        </w:rPr>
        <w:t xml:space="preserve"> hasta la fecha de su actividad”</w:t>
      </w:r>
      <w:bookmarkStart w:id="19" w:name="_ftnref20"/>
      <w:r w:rsidRPr="00FD3458">
        <w:rPr>
          <w:rFonts w:ascii="Segoe UI" w:eastAsia="Times New Roman" w:hAnsi="Segoe UI" w:cs="Segoe UI"/>
          <w:i/>
          <w:iCs/>
          <w:color w:val="000000"/>
          <w:sz w:val="18"/>
          <w:szCs w:val="18"/>
          <w:lang w:eastAsia="es-CO"/>
        </w:rPr>
        <w:fldChar w:fldCharType="begin"/>
      </w:r>
      <w:r w:rsidRPr="00FD3458">
        <w:rPr>
          <w:rFonts w:ascii="Segoe UI" w:eastAsia="Times New Roman" w:hAnsi="Segoe UI" w:cs="Segoe UI"/>
          <w:i/>
          <w:iCs/>
          <w:color w:val="000000"/>
          <w:sz w:val="18"/>
          <w:szCs w:val="18"/>
          <w:lang w:eastAsia="es-CO"/>
        </w:rPr>
        <w:instrText xml:space="preserve"> HYPERLINK "https://www.ceta.org.co/html/vista_de_un_documento.asp?DocumentoID=36544" \l "_ftn20" \o "" </w:instrText>
      </w:r>
      <w:r w:rsidRPr="00FD3458">
        <w:rPr>
          <w:rFonts w:ascii="Segoe UI" w:eastAsia="Times New Roman" w:hAnsi="Segoe UI" w:cs="Segoe UI"/>
          <w:i/>
          <w:iCs/>
          <w:color w:val="000000"/>
          <w:sz w:val="18"/>
          <w:szCs w:val="18"/>
          <w:lang w:eastAsia="es-CO"/>
        </w:rPr>
        <w:fldChar w:fldCharType="separate"/>
      </w:r>
      <w:r w:rsidRPr="00FD3458">
        <w:rPr>
          <w:rFonts w:ascii="Segoe UI" w:eastAsia="Times New Roman" w:hAnsi="Segoe UI" w:cs="Segoe UI"/>
          <w:b/>
          <w:bCs/>
          <w:i/>
          <w:iCs/>
          <w:color w:val="0089E1"/>
          <w:sz w:val="22"/>
          <w:lang w:eastAsia="es-CO"/>
        </w:rPr>
        <w:t>[20]</w:t>
      </w:r>
      <w:r w:rsidRPr="00FD3458">
        <w:rPr>
          <w:rFonts w:ascii="Segoe UI" w:eastAsia="Times New Roman" w:hAnsi="Segoe UI" w:cs="Segoe UI"/>
          <w:i/>
          <w:iCs/>
          <w:color w:val="000000"/>
          <w:sz w:val="18"/>
          <w:szCs w:val="18"/>
          <w:lang w:eastAsia="es-CO"/>
        </w:rPr>
        <w:fldChar w:fldCharType="end"/>
      </w:r>
      <w:bookmarkEnd w:id="19"/>
      <w:r w:rsidRPr="00FD3458">
        <w:rPr>
          <w:rFonts w:ascii="Segoe UI" w:eastAsia="Times New Roman" w:hAnsi="Segoe UI" w:cs="Segoe UI"/>
          <w:i/>
          <w:iCs/>
          <w:color w:val="000000"/>
          <w:sz w:val="18"/>
          <w:szCs w:val="18"/>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(ii) Que dicho establecimiento de comercio, en el año 2004, funcionaba en la carrera 10 # 9-37 de Chiquinquirá –Boyacá</w:t>
      </w:r>
      <w:bookmarkStart w:id="20" w:name="_ftnref21"/>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"_ftn21"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[21]</w:t>
      </w:r>
      <w:r w:rsidRPr="00FD3458">
        <w:rPr>
          <w:rFonts w:ascii="Segoe UI" w:eastAsia="Times New Roman" w:hAnsi="Segoe UI" w:cs="Segoe UI"/>
          <w:color w:val="000000"/>
          <w:sz w:val="18"/>
          <w:szCs w:val="18"/>
          <w:lang w:eastAsia="es-CO"/>
        </w:rPr>
        <w:fldChar w:fldCharType="end"/>
      </w:r>
      <w:bookmarkEnd w:id="20"/>
      <w:r w:rsidRPr="00FD3458">
        <w:rPr>
          <w:rFonts w:ascii="Segoe UI" w:eastAsia="Times New Roman" w:hAnsi="Segoe UI" w:cs="Segoe UI"/>
          <w:color w:val="000000"/>
          <w:sz w:val="18"/>
          <w:szCs w:val="18"/>
          <w:lang w:eastAsia="es-CO"/>
        </w:rPr>
        <w:t>, lo que tampoco se discute.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(iii) Que aun cuando la señora Ninfa Rocha ya no ejercía su actividad comercial mediante el establecimiento de comercio que interesa en este proceso, entre el 11 de septiembre y el 15 de noviembre de 2004, la sociedad COLOMBINA S.A. emitió 15 facturas a su nombre</w:t>
      </w:r>
      <w:bookmarkStart w:id="21" w:name="_ftnref22"/>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"_ftn22"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[22]</w:t>
      </w:r>
      <w:r w:rsidRPr="00FD3458">
        <w:rPr>
          <w:rFonts w:ascii="Segoe UI" w:eastAsia="Times New Roman" w:hAnsi="Segoe UI" w:cs="Segoe UI"/>
          <w:color w:val="000000"/>
          <w:sz w:val="18"/>
          <w:szCs w:val="18"/>
          <w:lang w:eastAsia="es-CO"/>
        </w:rPr>
        <w:fldChar w:fldCharType="end"/>
      </w:r>
      <w:bookmarkEnd w:id="21"/>
      <w:r w:rsidRPr="00FD3458">
        <w:rPr>
          <w:rFonts w:ascii="Segoe UI" w:eastAsia="Times New Roman" w:hAnsi="Segoe UI" w:cs="Segoe UI"/>
          <w:color w:val="000000"/>
          <w:sz w:val="18"/>
          <w:szCs w:val="18"/>
          <w:lang w:eastAsia="es-CO"/>
        </w:rPr>
        <w:t>, por la suma total de $65.900.185</w:t>
      </w:r>
      <w:bookmarkStart w:id="22" w:name="_ftnref23"/>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"_ftn23"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[23]</w:t>
      </w:r>
      <w:r w:rsidRPr="00FD3458">
        <w:rPr>
          <w:rFonts w:ascii="Segoe UI" w:eastAsia="Times New Roman" w:hAnsi="Segoe UI" w:cs="Segoe UI"/>
          <w:color w:val="000000"/>
          <w:sz w:val="18"/>
          <w:szCs w:val="18"/>
          <w:lang w:eastAsia="es-CO"/>
        </w:rPr>
        <w:fldChar w:fldCharType="end"/>
      </w:r>
      <w:bookmarkEnd w:id="22"/>
      <w:r w:rsidRPr="00FD3458">
        <w:rPr>
          <w:rFonts w:ascii="Segoe UI" w:eastAsia="Times New Roman" w:hAnsi="Segoe UI" w:cs="Segoe UI"/>
          <w:color w:val="000000"/>
          <w:sz w:val="18"/>
          <w:szCs w:val="18"/>
          <w:lang w:eastAsia="es-CO"/>
        </w:rPr>
        <w:t> (sin incluir IVA), relacionadas con una mercancía que se remitió a la carrera 10 # 9-37 de Chiquinquirá –Boyacá</w:t>
      </w:r>
      <w:bookmarkStart w:id="23" w:name="_ftnref24"/>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"_ftn24"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[24]</w:t>
      </w:r>
      <w:r w:rsidRPr="00FD3458">
        <w:rPr>
          <w:rFonts w:ascii="Segoe UI" w:eastAsia="Times New Roman" w:hAnsi="Segoe UI" w:cs="Segoe UI"/>
          <w:color w:val="000000"/>
          <w:sz w:val="18"/>
          <w:szCs w:val="18"/>
          <w:lang w:eastAsia="es-CO"/>
        </w:rPr>
        <w:fldChar w:fldCharType="end"/>
      </w:r>
      <w:bookmarkEnd w:id="23"/>
      <w:r w:rsidRPr="00FD3458">
        <w:rPr>
          <w:rFonts w:ascii="Segoe UI" w:eastAsia="Times New Roman" w:hAnsi="Segoe UI" w:cs="Segoe UI"/>
          <w:color w:val="000000"/>
          <w:sz w:val="18"/>
          <w:szCs w:val="18"/>
          <w:lang w:eastAsia="es-CO"/>
        </w:rPr>
        <w:t>, prueba que no fue controvertida por el demandante.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Es oportuno mencionar que esa misma sociedad emitió 25 facturas a nombre del señor Pasión Peña Castro, entre el 11 de septiembre de 2004 y el 23 de diciembre de ese mismo año, mercancía que también se despachó a la carrera 10 # 9-37 de Chiquinquirá –Boyacá</w:t>
      </w:r>
      <w:bookmarkStart w:id="24" w:name="_ftnref25"/>
      <w:r w:rsidRPr="00FD3458">
        <w:rPr>
          <w:rFonts w:ascii="Segoe UI" w:eastAsia="Times New Roman" w:hAnsi="Segoe UI" w:cs="Segoe UI"/>
          <w:color w:val="000000"/>
          <w:sz w:val="22"/>
          <w:lang w:eastAsia="es-CO"/>
        </w:rPr>
        <w:fldChar w:fldCharType="begin"/>
      </w:r>
      <w:r w:rsidRPr="00FD3458">
        <w:rPr>
          <w:rFonts w:ascii="Segoe UI" w:eastAsia="Times New Roman" w:hAnsi="Segoe UI" w:cs="Segoe UI"/>
          <w:color w:val="000000"/>
          <w:sz w:val="22"/>
          <w:lang w:eastAsia="es-CO"/>
        </w:rPr>
        <w:instrText xml:space="preserve"> HYPERLINK "https://www.ceta.org.co/html/vista_de_un_documento.asp?DocumentoID=36544" \l "_ftn25" \o "" </w:instrText>
      </w:r>
      <w:r w:rsidRPr="00FD3458">
        <w:rPr>
          <w:rFonts w:ascii="Segoe UI" w:eastAsia="Times New Roman" w:hAnsi="Segoe UI" w:cs="Segoe UI"/>
          <w:color w:val="000000"/>
          <w:sz w:val="22"/>
          <w:lang w:eastAsia="es-CO"/>
        </w:rPr>
        <w:fldChar w:fldCharType="separate"/>
      </w:r>
      <w:r w:rsidRPr="00FD3458">
        <w:rPr>
          <w:rFonts w:ascii="Segoe UI" w:eastAsia="Times New Roman" w:hAnsi="Segoe UI" w:cs="Segoe UI"/>
          <w:color w:val="0089E1"/>
          <w:sz w:val="22"/>
          <w:lang w:eastAsia="es-CO"/>
        </w:rPr>
        <w:t>[25]</w:t>
      </w:r>
      <w:r w:rsidRPr="00FD3458">
        <w:rPr>
          <w:rFonts w:ascii="Segoe UI" w:eastAsia="Times New Roman" w:hAnsi="Segoe UI" w:cs="Segoe UI"/>
          <w:color w:val="000000"/>
          <w:sz w:val="22"/>
          <w:lang w:eastAsia="es-CO"/>
        </w:rPr>
        <w:fldChar w:fldCharType="end"/>
      </w:r>
      <w:bookmarkEnd w:id="24"/>
      <w:r w:rsidRPr="00FD3458">
        <w:rPr>
          <w:rFonts w:ascii="Segoe UI" w:eastAsia="Times New Roman" w:hAnsi="Segoe UI" w:cs="Segoe UI"/>
          <w:color w:val="000000"/>
          <w:sz w:val="22"/>
          <w:lang w:eastAsia="es-CO"/>
        </w:rPr>
        <w:t>, de lo que se infiere que los productos distribuidos por Colombina no son ajenos a la actividad comercial desarrollada por el demandante, en el período en discusión.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(iv) Que el 20 de octubre de 2005, la señora Ninfa Rocha se encontraba en el establecimiento de comercio de propiedad del contribuyente y, atendió la visita realizada por la funcionaria de la DIAN, identificándose como la administradora</w:t>
      </w:r>
      <w:bookmarkStart w:id="25" w:name="_ftnref26"/>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"_ftn26"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[26]</w:t>
      </w:r>
      <w:r w:rsidRPr="00FD3458">
        <w:rPr>
          <w:rFonts w:ascii="Segoe UI" w:eastAsia="Times New Roman" w:hAnsi="Segoe UI" w:cs="Segoe UI"/>
          <w:color w:val="000000"/>
          <w:sz w:val="18"/>
          <w:szCs w:val="18"/>
          <w:lang w:eastAsia="es-CO"/>
        </w:rPr>
        <w:fldChar w:fldCharType="end"/>
      </w:r>
      <w:bookmarkEnd w:id="25"/>
      <w:r w:rsidRPr="00FD3458">
        <w:rPr>
          <w:rFonts w:ascii="Segoe UI" w:eastAsia="Times New Roman" w:hAnsi="Segoe UI" w:cs="Segoe UI"/>
          <w:color w:val="000000"/>
          <w:sz w:val="18"/>
          <w:szCs w:val="18"/>
          <w:lang w:eastAsia="es-CO"/>
        </w:rPr>
        <w:t>, cuestión que no fue controvertida por el demandante.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2.8.1.3 Sumado a lo anterior, se advierte que conforme con el artículo 515 del Código de Comercio (en adelante, C. de Co), se entiende por establecimiento de comercio el </w:t>
      </w:r>
      <w:r w:rsidRPr="00FD3458">
        <w:rPr>
          <w:rFonts w:ascii="Segoe UI" w:eastAsia="Times New Roman" w:hAnsi="Segoe UI" w:cs="Segoe UI"/>
          <w:i/>
          <w:iCs/>
          <w:color w:val="000000"/>
          <w:sz w:val="18"/>
          <w:szCs w:val="18"/>
          <w:lang w:eastAsia="es-CO"/>
        </w:rPr>
        <w:t>“conjunto de bienes organizados por el empresario para realizar los fines de la empresa”.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Que dentro de los elementos del establecimiento de comercio están, entre otros, </w:t>
      </w:r>
      <w:r w:rsidRPr="00FD3458">
        <w:rPr>
          <w:rFonts w:ascii="Segoe UI" w:eastAsia="Times New Roman" w:hAnsi="Segoe UI" w:cs="Segoe UI"/>
          <w:i/>
          <w:iCs/>
          <w:color w:val="000000"/>
          <w:sz w:val="22"/>
          <w:lang w:eastAsia="es-CO"/>
        </w:rPr>
        <w:t>“[l]as mercancías en almacén o en proceso de elaboración, los créditos y los demás valores similares” </w:t>
      </w:r>
      <w:r w:rsidRPr="00FD3458">
        <w:rPr>
          <w:rFonts w:ascii="Segoe UI" w:eastAsia="Times New Roman" w:hAnsi="Segoe UI" w:cs="Segoe UI"/>
          <w:color w:val="000000"/>
          <w:sz w:val="22"/>
          <w:lang w:eastAsia="es-CO"/>
        </w:rPr>
        <w:t>(art. 516-3 </w:t>
      </w:r>
      <w:r w:rsidRPr="00FD3458">
        <w:rPr>
          <w:rFonts w:ascii="Segoe UI" w:eastAsia="Times New Roman" w:hAnsi="Segoe UI" w:cs="Segoe UI"/>
          <w:i/>
          <w:iCs/>
          <w:color w:val="000000"/>
          <w:sz w:val="22"/>
          <w:lang w:eastAsia="es-CO"/>
        </w:rPr>
        <w:t>Ib.</w:t>
      </w:r>
      <w:r w:rsidRPr="00FD3458">
        <w:rPr>
          <w:rFonts w:ascii="Segoe UI" w:eastAsia="Times New Roman" w:hAnsi="Segoe UI" w:cs="Segoe UI"/>
          <w:color w:val="000000"/>
          <w:sz w:val="22"/>
          <w:lang w:eastAsia="es-CO"/>
        </w:rPr>
        <w:t xml:space="preserve">), es decir, los activos mismos de la empresa, representados en mercancía, </w:t>
      </w:r>
      <w:proofErr w:type="gramStart"/>
      <w:r w:rsidRPr="00FD3458">
        <w:rPr>
          <w:rFonts w:ascii="Segoe UI" w:eastAsia="Times New Roman" w:hAnsi="Segoe UI" w:cs="Segoe UI"/>
          <w:color w:val="000000"/>
          <w:sz w:val="22"/>
          <w:lang w:eastAsia="es-CO"/>
        </w:rPr>
        <w:t>materia primas</w:t>
      </w:r>
      <w:proofErr w:type="gramEnd"/>
      <w:r w:rsidRPr="00FD3458">
        <w:rPr>
          <w:rFonts w:ascii="Segoe UI" w:eastAsia="Times New Roman" w:hAnsi="Segoe UI" w:cs="Segoe UI"/>
          <w:color w:val="000000"/>
          <w:sz w:val="22"/>
          <w:lang w:eastAsia="es-CO"/>
        </w:rPr>
        <w:t xml:space="preserve"> (sic), acreencias, etc.</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Por tanto, es viable inferir que la mercancía recibida en el local en donde funciona un establecimiento de comercio, claro está, relacionada con la actividad comercial, constituye un elemento de este, a menos que se pruebe lo contrario.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2.8.1.4 Siendo esto así, también es posible deducir que la mercancía relacionada con la actividad comercial está destinada para realizar los fines de la empresa, en provecho del propietario del establecimiento de comercio, que conforme con el numeral 2 del artículo 32 del Código de Comercio, se presume como tal, quien así aparezca en el registro, en este caso, el señor Pasión Peña Castro</w:t>
      </w:r>
      <w:bookmarkStart w:id="26" w:name="_ftnref27"/>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"_ftn27"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[27]</w:t>
      </w:r>
      <w:r w:rsidRPr="00FD3458">
        <w:rPr>
          <w:rFonts w:ascii="Segoe UI" w:eastAsia="Times New Roman" w:hAnsi="Segoe UI" w:cs="Segoe UI"/>
          <w:color w:val="000000"/>
          <w:sz w:val="18"/>
          <w:szCs w:val="18"/>
          <w:lang w:eastAsia="es-CO"/>
        </w:rPr>
        <w:fldChar w:fldCharType="end"/>
      </w:r>
      <w:bookmarkEnd w:id="26"/>
      <w:r w:rsidRPr="00FD3458">
        <w:rPr>
          <w:rFonts w:ascii="Segoe UI" w:eastAsia="Times New Roman" w:hAnsi="Segoe UI" w:cs="Segoe UI"/>
          <w:color w:val="000000"/>
          <w:sz w:val="18"/>
          <w:szCs w:val="18"/>
          <w:lang w:eastAsia="es-CO"/>
        </w:rPr>
        <w:t> y, por ende, es este quien, en principio, adquiere los derechos y responde por las obligaciones, a menos, claro está, que se pruebe lo contrario.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2.8.1.5 Conforme con lo anterior, se concluye que el valor de la mercancía entregada por Colombina entre el 11 de septiembre y el 15 de noviembre de 2004, en el local en el que funcionaba el establecimiento de comercio del propiedad del demandante, facturada a nombre de Ninfa Rocha, se debe incluir en la fórmula prevista en el </w:t>
      </w:r>
      <w:hyperlink r:id="rId31" w:tooltip="Estatuto Tributario CETA" w:history="1">
        <w:r w:rsidRPr="00FD3458">
          <w:rPr>
            <w:rFonts w:ascii="Segoe UI" w:eastAsia="Times New Roman" w:hAnsi="Segoe UI" w:cs="Segoe UI"/>
            <w:color w:val="0089E1"/>
            <w:sz w:val="18"/>
            <w:szCs w:val="18"/>
            <w:lang w:eastAsia="es-CO"/>
          </w:rPr>
          <w:t>artículo 760</w:t>
        </w:r>
      </w:hyperlink>
      <w:r w:rsidRPr="00FD3458">
        <w:rPr>
          <w:rFonts w:ascii="Segoe UI" w:eastAsia="Times New Roman" w:hAnsi="Segoe UI" w:cs="Segoe UI"/>
          <w:color w:val="000000"/>
          <w:sz w:val="18"/>
          <w:szCs w:val="18"/>
          <w:lang w:eastAsia="es-CO"/>
        </w:rPr>
        <w:t> del ET, para adicionar ingresos por omisión del registro de compras, porque el contribuyente no logró desvirtuar, correspondiéndole la carga de la prueba, la ilegalidad de la actuación administrativa, en lo que a dichas compras se refiere.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2.8.2 En lo que tiene que ver con las facturas expedidas a nombre de los señores José Benítez y Omar García, se observa lo siguiente: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2.8.2.1 En la liquidación oficial de revisión, la DIAN afirmó que las compras realizadas por los señores José Benítez Ortega y Omar García fueron “</w:t>
      </w:r>
      <w:r w:rsidRPr="00FD3458">
        <w:rPr>
          <w:rFonts w:ascii="Segoe UI" w:eastAsia="Times New Roman" w:hAnsi="Segoe UI" w:cs="Segoe UI"/>
          <w:i/>
          <w:iCs/>
          <w:color w:val="000000"/>
          <w:sz w:val="18"/>
          <w:szCs w:val="18"/>
          <w:lang w:eastAsia="es-CO"/>
        </w:rPr>
        <w:t>despachadas a la dirección fiscal del contribuyente</w:t>
      </w:r>
      <w:r w:rsidRPr="00FD3458">
        <w:rPr>
          <w:rFonts w:ascii="Segoe UI" w:eastAsia="Times New Roman" w:hAnsi="Segoe UI" w:cs="Segoe UI"/>
          <w:color w:val="000000"/>
          <w:sz w:val="18"/>
          <w:szCs w:val="18"/>
          <w:lang w:eastAsia="es-CO"/>
        </w:rPr>
        <w:t>” y se </w:t>
      </w:r>
      <w:r w:rsidRPr="00FD3458">
        <w:rPr>
          <w:rFonts w:ascii="Segoe UI" w:eastAsia="Times New Roman" w:hAnsi="Segoe UI" w:cs="Segoe UI"/>
          <w:i/>
          <w:iCs/>
          <w:color w:val="000000"/>
          <w:sz w:val="18"/>
          <w:szCs w:val="18"/>
          <w:lang w:eastAsia="es-CO"/>
        </w:rPr>
        <w:t>“presentan indicios graves de que corresponden en realidad a transacciones del contribuyente en estudio, debido a que algunas de estas fueron canceladas a través de la cuenta corriente del banco BBVA en donde aparece el señor Pasión Peña como persona con firma autorizada quien es la persona que firma los cheques con las (sic) que se pagaron las facturas”</w:t>
      </w:r>
      <w:bookmarkStart w:id="27" w:name="_ftnref28"/>
      <w:r w:rsidRPr="00FD3458">
        <w:rPr>
          <w:rFonts w:ascii="Segoe UI" w:eastAsia="Times New Roman" w:hAnsi="Segoe UI" w:cs="Segoe UI"/>
          <w:i/>
          <w:iCs/>
          <w:color w:val="000000"/>
          <w:sz w:val="18"/>
          <w:szCs w:val="18"/>
          <w:lang w:eastAsia="es-CO"/>
        </w:rPr>
        <w:fldChar w:fldCharType="begin"/>
      </w:r>
      <w:r w:rsidRPr="00FD3458">
        <w:rPr>
          <w:rFonts w:ascii="Segoe UI" w:eastAsia="Times New Roman" w:hAnsi="Segoe UI" w:cs="Segoe UI"/>
          <w:i/>
          <w:iCs/>
          <w:color w:val="000000"/>
          <w:sz w:val="18"/>
          <w:szCs w:val="18"/>
          <w:lang w:eastAsia="es-CO"/>
        </w:rPr>
        <w:instrText xml:space="preserve"> HYPERLINK "https://www.ceta.org.co/html/vista_de_un_documento.asp?DocumentoID=36544" \l "_ftn28" \o "" </w:instrText>
      </w:r>
      <w:r w:rsidRPr="00FD3458">
        <w:rPr>
          <w:rFonts w:ascii="Segoe UI" w:eastAsia="Times New Roman" w:hAnsi="Segoe UI" w:cs="Segoe UI"/>
          <w:i/>
          <w:iCs/>
          <w:color w:val="000000"/>
          <w:sz w:val="18"/>
          <w:szCs w:val="18"/>
          <w:lang w:eastAsia="es-CO"/>
        </w:rPr>
        <w:fldChar w:fldCharType="separate"/>
      </w:r>
      <w:r w:rsidRPr="00FD3458">
        <w:rPr>
          <w:rFonts w:ascii="Segoe UI" w:eastAsia="Times New Roman" w:hAnsi="Segoe UI" w:cs="Segoe UI"/>
          <w:b/>
          <w:bCs/>
          <w:i/>
          <w:iCs/>
          <w:color w:val="0089E1"/>
          <w:sz w:val="22"/>
          <w:lang w:eastAsia="es-CO"/>
        </w:rPr>
        <w:t>[28]</w:t>
      </w:r>
      <w:r w:rsidRPr="00FD3458">
        <w:rPr>
          <w:rFonts w:ascii="Segoe UI" w:eastAsia="Times New Roman" w:hAnsi="Segoe UI" w:cs="Segoe UI"/>
          <w:i/>
          <w:iCs/>
          <w:color w:val="000000"/>
          <w:sz w:val="18"/>
          <w:szCs w:val="18"/>
          <w:lang w:eastAsia="es-CO"/>
        </w:rPr>
        <w:fldChar w:fldCharType="end"/>
      </w:r>
      <w:bookmarkEnd w:id="27"/>
      <w:r w:rsidRPr="00FD3458">
        <w:rPr>
          <w:rFonts w:ascii="Segoe UI" w:eastAsia="Times New Roman" w:hAnsi="Segoe UI" w:cs="Segoe UI"/>
          <w:i/>
          <w:iCs/>
          <w:color w:val="000000"/>
          <w:sz w:val="18"/>
          <w:szCs w:val="18"/>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2.8.2.2 Al respecto, la Sala observa que Harinera del Valle S.A. le informó a la DIAN que durante el año 2004 no realizó transacciones con el señor Pasión Peña Castro.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lastRenderedPageBreak/>
        <w:t>A su vez, ese proveedor puso de presente que entre el 31 de enero de 2004 y el 30 de diciembre de ese mismo año, efectuó 21 operaciones con el señor José Aquileo Benítez Ortega, a quien se le remitió la mercancía a la carrera 10 # 9-37 de la ciudad de Chiquinquirá, Boyacá</w:t>
      </w:r>
      <w:bookmarkStart w:id="28" w:name="_ftnref29"/>
      <w:r w:rsidRPr="00FD3458">
        <w:rPr>
          <w:rFonts w:ascii="Segoe UI" w:eastAsia="Times New Roman" w:hAnsi="Segoe UI" w:cs="Segoe UI"/>
          <w:color w:val="000000"/>
          <w:sz w:val="22"/>
          <w:lang w:eastAsia="es-CO"/>
        </w:rPr>
        <w:fldChar w:fldCharType="begin"/>
      </w:r>
      <w:r w:rsidRPr="00FD3458">
        <w:rPr>
          <w:rFonts w:ascii="Segoe UI" w:eastAsia="Times New Roman" w:hAnsi="Segoe UI" w:cs="Segoe UI"/>
          <w:color w:val="000000"/>
          <w:sz w:val="22"/>
          <w:lang w:eastAsia="es-CO"/>
        </w:rPr>
        <w:instrText xml:space="preserve"> HYPERLINK "https://www.ceta.org.co/html/vista_de_un_documento.asp?DocumentoID=36544" \l "_ftn29" \o "" </w:instrText>
      </w:r>
      <w:r w:rsidRPr="00FD3458">
        <w:rPr>
          <w:rFonts w:ascii="Segoe UI" w:eastAsia="Times New Roman" w:hAnsi="Segoe UI" w:cs="Segoe UI"/>
          <w:color w:val="000000"/>
          <w:sz w:val="22"/>
          <w:lang w:eastAsia="es-CO"/>
        </w:rPr>
        <w:fldChar w:fldCharType="separate"/>
      </w:r>
      <w:r w:rsidRPr="00FD3458">
        <w:rPr>
          <w:rFonts w:ascii="Segoe UI" w:eastAsia="Times New Roman" w:hAnsi="Segoe UI" w:cs="Segoe UI"/>
          <w:color w:val="0089E1"/>
          <w:sz w:val="22"/>
          <w:lang w:eastAsia="es-CO"/>
        </w:rPr>
        <w:t>[29]</w:t>
      </w:r>
      <w:r w:rsidRPr="00FD3458">
        <w:rPr>
          <w:rFonts w:ascii="Segoe UI" w:eastAsia="Times New Roman" w:hAnsi="Segoe UI" w:cs="Segoe UI"/>
          <w:color w:val="000000"/>
          <w:sz w:val="22"/>
          <w:lang w:eastAsia="es-CO"/>
        </w:rPr>
        <w:fldChar w:fldCharType="end"/>
      </w:r>
      <w:bookmarkEnd w:id="28"/>
      <w:r w:rsidRPr="00FD3458">
        <w:rPr>
          <w:rFonts w:ascii="Segoe UI" w:eastAsia="Times New Roman" w:hAnsi="Segoe UI" w:cs="Segoe UI"/>
          <w:color w:val="000000"/>
          <w:sz w:val="22"/>
          <w:lang w:eastAsia="es-CO"/>
        </w:rPr>
        <w:t>, dirección que, conforme con lo expuesto con anterioridad, coincide con la ubicación del local en donde funciona el establecimiento de comercio de propiedad del contribuyente.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Como en la actuación administrativa demandada, la DIAN aceptó que a partir de julio del año 2004 el demandante inició su actividad comercial mediante el establecimiento de comercio al que se ha hecho referencia en esta sentencia</w:t>
      </w:r>
      <w:bookmarkStart w:id="29" w:name="_ftnref30"/>
      <w:r w:rsidRPr="00FD3458">
        <w:rPr>
          <w:rFonts w:ascii="Segoe UI" w:eastAsia="Times New Roman" w:hAnsi="Segoe UI" w:cs="Segoe UI"/>
          <w:color w:val="000000"/>
          <w:sz w:val="22"/>
          <w:lang w:eastAsia="es-CO"/>
        </w:rPr>
        <w:fldChar w:fldCharType="begin"/>
      </w:r>
      <w:r w:rsidRPr="00FD3458">
        <w:rPr>
          <w:rFonts w:ascii="Segoe UI" w:eastAsia="Times New Roman" w:hAnsi="Segoe UI" w:cs="Segoe UI"/>
          <w:color w:val="000000"/>
          <w:sz w:val="22"/>
          <w:lang w:eastAsia="es-CO"/>
        </w:rPr>
        <w:instrText xml:space="preserve"> HYPERLINK "https://www.ceta.org.co/html/vista_de_un_documento.asp?DocumentoID=36544" \l "_ftn30" \o "" </w:instrText>
      </w:r>
      <w:r w:rsidRPr="00FD3458">
        <w:rPr>
          <w:rFonts w:ascii="Segoe UI" w:eastAsia="Times New Roman" w:hAnsi="Segoe UI" w:cs="Segoe UI"/>
          <w:color w:val="000000"/>
          <w:sz w:val="22"/>
          <w:lang w:eastAsia="es-CO"/>
        </w:rPr>
        <w:fldChar w:fldCharType="separate"/>
      </w:r>
      <w:r w:rsidRPr="00FD3458">
        <w:rPr>
          <w:rFonts w:ascii="Segoe UI" w:eastAsia="Times New Roman" w:hAnsi="Segoe UI" w:cs="Segoe UI"/>
          <w:color w:val="0089E1"/>
          <w:sz w:val="22"/>
          <w:lang w:eastAsia="es-CO"/>
        </w:rPr>
        <w:t>[30]</w:t>
      </w:r>
      <w:r w:rsidRPr="00FD3458">
        <w:rPr>
          <w:rFonts w:ascii="Segoe UI" w:eastAsia="Times New Roman" w:hAnsi="Segoe UI" w:cs="Segoe UI"/>
          <w:color w:val="000000"/>
          <w:sz w:val="22"/>
          <w:lang w:eastAsia="es-CO"/>
        </w:rPr>
        <w:fldChar w:fldCharType="end"/>
      </w:r>
      <w:bookmarkEnd w:id="29"/>
      <w:r w:rsidRPr="00FD3458">
        <w:rPr>
          <w:rFonts w:ascii="Segoe UI" w:eastAsia="Times New Roman" w:hAnsi="Segoe UI" w:cs="Segoe UI"/>
          <w:color w:val="000000"/>
          <w:sz w:val="22"/>
          <w:lang w:eastAsia="es-CO"/>
        </w:rPr>
        <w:t>, la Sala concluye que, al aplicar el mismo razonamiento que se hizo en relación con las compras facturas a nombre de la señora Ninfa Rocha, no es posible que al señor Pasión Peña se le incluyan las compras realizadas entre enero y junio de ese año, porque en ese período, la que ejerció la actividad comercial en la carrera 10 # 9-37 de Chiquinquirá, fue la señora Rocha.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Incluso, si en algunas de estas operaciones, el actor intervino girando cheques y realizando transferencias</w:t>
      </w:r>
      <w:bookmarkStart w:id="30" w:name="_ftnref31"/>
      <w:r w:rsidRPr="00FD3458">
        <w:rPr>
          <w:rFonts w:ascii="Segoe UI" w:eastAsia="Times New Roman" w:hAnsi="Segoe UI" w:cs="Segoe UI"/>
          <w:color w:val="000000"/>
          <w:sz w:val="22"/>
          <w:lang w:eastAsia="es-CO"/>
        </w:rPr>
        <w:fldChar w:fldCharType="begin"/>
      </w:r>
      <w:r w:rsidRPr="00FD3458">
        <w:rPr>
          <w:rFonts w:ascii="Segoe UI" w:eastAsia="Times New Roman" w:hAnsi="Segoe UI" w:cs="Segoe UI"/>
          <w:color w:val="000000"/>
          <w:sz w:val="22"/>
          <w:lang w:eastAsia="es-CO"/>
        </w:rPr>
        <w:instrText xml:space="preserve"> HYPERLINK "https://www.ceta.org.co/html/vista_de_un_documento.asp?DocumentoID=36544" \l "_ftn31" \o "" </w:instrText>
      </w:r>
      <w:r w:rsidRPr="00FD3458">
        <w:rPr>
          <w:rFonts w:ascii="Segoe UI" w:eastAsia="Times New Roman" w:hAnsi="Segoe UI" w:cs="Segoe UI"/>
          <w:color w:val="000000"/>
          <w:sz w:val="22"/>
          <w:lang w:eastAsia="es-CO"/>
        </w:rPr>
        <w:fldChar w:fldCharType="separate"/>
      </w:r>
      <w:r w:rsidRPr="00FD3458">
        <w:rPr>
          <w:rFonts w:ascii="Segoe UI" w:eastAsia="Times New Roman" w:hAnsi="Segoe UI" w:cs="Segoe UI"/>
          <w:color w:val="0089E1"/>
          <w:sz w:val="22"/>
          <w:lang w:eastAsia="es-CO"/>
        </w:rPr>
        <w:t>[31]</w:t>
      </w:r>
      <w:r w:rsidRPr="00FD3458">
        <w:rPr>
          <w:rFonts w:ascii="Segoe UI" w:eastAsia="Times New Roman" w:hAnsi="Segoe UI" w:cs="Segoe UI"/>
          <w:color w:val="000000"/>
          <w:sz w:val="22"/>
          <w:lang w:eastAsia="es-CO"/>
        </w:rPr>
        <w:fldChar w:fldCharType="end"/>
      </w:r>
      <w:bookmarkEnd w:id="30"/>
      <w:r w:rsidRPr="00FD3458">
        <w:rPr>
          <w:rFonts w:ascii="Segoe UI" w:eastAsia="Times New Roman" w:hAnsi="Segoe UI" w:cs="Segoe UI"/>
          <w:color w:val="000000"/>
          <w:sz w:val="22"/>
          <w:lang w:eastAsia="es-CO"/>
        </w:rPr>
        <w:t>, porque en dado caso, se le debería considerar como un tercero que actuó en beneficio de la señora Ninfa Rocha, quien, se repite, en palabras de la Administración, </w:t>
      </w:r>
      <w:r w:rsidRPr="00FD3458">
        <w:rPr>
          <w:rFonts w:ascii="Segoe UI" w:eastAsia="Times New Roman" w:hAnsi="Segoe UI" w:cs="Segoe UI"/>
          <w:i/>
          <w:iCs/>
          <w:color w:val="000000"/>
          <w:sz w:val="22"/>
          <w:lang w:eastAsia="es-CO"/>
        </w:rPr>
        <w:t>“ejerció la actividad comercial hasta junio de 2004”</w:t>
      </w:r>
      <w:bookmarkStart w:id="31" w:name="_ftnref32"/>
      <w:r w:rsidRPr="00FD3458">
        <w:rPr>
          <w:rFonts w:ascii="Segoe UI" w:eastAsia="Times New Roman" w:hAnsi="Segoe UI" w:cs="Segoe UI"/>
          <w:i/>
          <w:iCs/>
          <w:color w:val="000000"/>
          <w:sz w:val="22"/>
          <w:lang w:eastAsia="es-CO"/>
        </w:rPr>
        <w:fldChar w:fldCharType="begin"/>
      </w:r>
      <w:r w:rsidRPr="00FD3458">
        <w:rPr>
          <w:rFonts w:ascii="Segoe UI" w:eastAsia="Times New Roman" w:hAnsi="Segoe UI" w:cs="Segoe UI"/>
          <w:i/>
          <w:iCs/>
          <w:color w:val="000000"/>
          <w:sz w:val="22"/>
          <w:lang w:eastAsia="es-CO"/>
        </w:rPr>
        <w:instrText xml:space="preserve"> HYPERLINK "https://www.ceta.org.co/html/vista_de_un_documento.asp?DocumentoID=36544" \l "_ftn32" \o "" </w:instrText>
      </w:r>
      <w:r w:rsidRPr="00FD3458">
        <w:rPr>
          <w:rFonts w:ascii="Segoe UI" w:eastAsia="Times New Roman" w:hAnsi="Segoe UI" w:cs="Segoe UI"/>
          <w:i/>
          <w:iCs/>
          <w:color w:val="000000"/>
          <w:sz w:val="22"/>
          <w:lang w:eastAsia="es-CO"/>
        </w:rPr>
        <w:fldChar w:fldCharType="separate"/>
      </w:r>
      <w:r w:rsidRPr="00FD3458">
        <w:rPr>
          <w:rFonts w:ascii="Segoe UI" w:eastAsia="Times New Roman" w:hAnsi="Segoe UI" w:cs="Segoe UI"/>
          <w:b/>
          <w:bCs/>
          <w:i/>
          <w:iCs/>
          <w:color w:val="0089E1"/>
          <w:sz w:val="22"/>
          <w:lang w:eastAsia="es-CO"/>
        </w:rPr>
        <w:t>[32]</w:t>
      </w:r>
      <w:r w:rsidRPr="00FD3458">
        <w:rPr>
          <w:rFonts w:ascii="Segoe UI" w:eastAsia="Times New Roman" w:hAnsi="Segoe UI" w:cs="Segoe UI"/>
          <w:i/>
          <w:iCs/>
          <w:color w:val="000000"/>
          <w:sz w:val="22"/>
          <w:lang w:eastAsia="es-CO"/>
        </w:rPr>
        <w:fldChar w:fldCharType="end"/>
      </w:r>
      <w:bookmarkEnd w:id="31"/>
      <w:r w:rsidRPr="00FD3458">
        <w:rPr>
          <w:rFonts w:ascii="Segoe UI" w:eastAsia="Times New Roman" w:hAnsi="Segoe UI" w:cs="Segoe UI"/>
          <w:i/>
          <w:iCs/>
          <w:color w:val="000000"/>
          <w:sz w:val="22"/>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Por lo tanto, conforme con lo expuesto con anterioridad, es del caso mantener la suma de $141.044.342, que corresponde a la mercancía que Harinera del Valle S.A. facturó entre julio y diciembre de 2004, a nombre del señor José Benítez, y que remitió con destino al local en el que funcionaba el establecimiento de comercio de propiedad del demandante.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2.8.2.3 Por otra parte, respecto de las 38 facturas emitidas por Distribuciones Pastor Julio Delgado y Cía. Ltda., por la suma total de $183.472.615, se observa que estas están a nombre del señor Omar García y que la mercancía se remitió a la carrera 10 # 9-30 de Chiquinquirá</w:t>
      </w:r>
      <w:bookmarkStart w:id="32" w:name="_ftnref33"/>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"_ftn33"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[33]</w:t>
      </w:r>
      <w:r w:rsidRPr="00FD3458">
        <w:rPr>
          <w:rFonts w:ascii="Segoe UI" w:eastAsia="Times New Roman" w:hAnsi="Segoe UI" w:cs="Segoe UI"/>
          <w:color w:val="000000"/>
          <w:sz w:val="18"/>
          <w:szCs w:val="18"/>
          <w:lang w:eastAsia="es-CO"/>
        </w:rPr>
        <w:fldChar w:fldCharType="end"/>
      </w:r>
      <w:bookmarkEnd w:id="32"/>
      <w:r w:rsidRPr="00FD3458">
        <w:rPr>
          <w:rFonts w:ascii="Segoe UI" w:eastAsia="Times New Roman" w:hAnsi="Segoe UI" w:cs="Segoe UI"/>
          <w:color w:val="000000"/>
          <w:sz w:val="18"/>
          <w:szCs w:val="18"/>
          <w:lang w:eastAsia="es-CO"/>
        </w:rPr>
        <w:t>, dirección que, contrario a lo afirmado por la DIAN, no concuerda con la de funcionamiento del establecimiento de comercio que interesa en este proceso, por lo que no se puede hacer extensivo el razonamiento hecho en relación con las facturas emitidas a nombre de Ninfa Rocha y José Aquileo Benítez Ortega.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Además de lo anterior, se advierte que de las 28 operaciones reportadas por Distribuciones Pastor Julio Delgado y Cía. Ltda. entre el 9 de julio de 2004 y el 17 de diciembre de ese mismo año, período en el que el DIAN aceptó que el demandante desarrolló su actividad comercial, solo en una, la relacionada con la factura nro. B-00666002 de 9 de julio de 2004, se pudo establecer, con plena certeza, que medió intervención del señor Pasión Peña</w:t>
      </w:r>
      <w:bookmarkStart w:id="33" w:name="_ftnref34"/>
      <w:r w:rsidRPr="00FD3458">
        <w:rPr>
          <w:rFonts w:ascii="Segoe UI" w:eastAsia="Times New Roman" w:hAnsi="Segoe UI" w:cs="Segoe UI"/>
          <w:color w:val="000000"/>
          <w:sz w:val="22"/>
          <w:lang w:eastAsia="es-CO"/>
        </w:rPr>
        <w:fldChar w:fldCharType="begin"/>
      </w:r>
      <w:r w:rsidRPr="00FD3458">
        <w:rPr>
          <w:rFonts w:ascii="Segoe UI" w:eastAsia="Times New Roman" w:hAnsi="Segoe UI" w:cs="Segoe UI"/>
          <w:color w:val="000000"/>
          <w:sz w:val="22"/>
          <w:lang w:eastAsia="es-CO"/>
        </w:rPr>
        <w:instrText xml:space="preserve"> HYPERLINK "https://www.ceta.org.co/html/vista_de_un_documento.asp?DocumentoID=36544" \l "_ftn34" \o "" </w:instrText>
      </w:r>
      <w:r w:rsidRPr="00FD3458">
        <w:rPr>
          <w:rFonts w:ascii="Segoe UI" w:eastAsia="Times New Roman" w:hAnsi="Segoe UI" w:cs="Segoe UI"/>
          <w:color w:val="000000"/>
          <w:sz w:val="22"/>
          <w:lang w:eastAsia="es-CO"/>
        </w:rPr>
        <w:fldChar w:fldCharType="separate"/>
      </w:r>
      <w:r w:rsidRPr="00FD3458">
        <w:rPr>
          <w:rFonts w:ascii="Segoe UI" w:eastAsia="Times New Roman" w:hAnsi="Segoe UI" w:cs="Segoe UI"/>
          <w:color w:val="0089E1"/>
          <w:sz w:val="22"/>
          <w:lang w:eastAsia="es-CO"/>
        </w:rPr>
        <w:t>[34]</w:t>
      </w:r>
      <w:r w:rsidRPr="00FD3458">
        <w:rPr>
          <w:rFonts w:ascii="Segoe UI" w:eastAsia="Times New Roman" w:hAnsi="Segoe UI" w:cs="Segoe UI"/>
          <w:color w:val="000000"/>
          <w:sz w:val="22"/>
          <w:lang w:eastAsia="es-CO"/>
        </w:rPr>
        <w:fldChar w:fldCharType="end"/>
      </w:r>
      <w:bookmarkEnd w:id="33"/>
      <w:r w:rsidRPr="00FD3458">
        <w:rPr>
          <w:rFonts w:ascii="Segoe UI" w:eastAsia="Times New Roman" w:hAnsi="Segoe UI" w:cs="Segoe UI"/>
          <w:color w:val="000000"/>
          <w:sz w:val="22"/>
          <w:lang w:eastAsia="es-CO"/>
        </w:rPr>
        <w:t>, porque fue quien giró el cheque nro. 25 del banco BBVA</w:t>
      </w:r>
      <w:bookmarkStart w:id="34" w:name="_ftnref35"/>
      <w:r w:rsidRPr="00FD3458">
        <w:rPr>
          <w:rFonts w:ascii="Segoe UI" w:eastAsia="Times New Roman" w:hAnsi="Segoe UI" w:cs="Segoe UI"/>
          <w:color w:val="000000"/>
          <w:sz w:val="22"/>
          <w:lang w:eastAsia="es-CO"/>
        </w:rPr>
        <w:fldChar w:fldCharType="begin"/>
      </w:r>
      <w:r w:rsidRPr="00FD3458">
        <w:rPr>
          <w:rFonts w:ascii="Segoe UI" w:eastAsia="Times New Roman" w:hAnsi="Segoe UI" w:cs="Segoe UI"/>
          <w:color w:val="000000"/>
          <w:sz w:val="22"/>
          <w:lang w:eastAsia="es-CO"/>
        </w:rPr>
        <w:instrText xml:space="preserve"> HYPERLINK "https://www.ceta.org.co/html/vista_de_un_documento.asp?DocumentoID=36544" \l "_ftn35" \o "" </w:instrText>
      </w:r>
      <w:r w:rsidRPr="00FD3458">
        <w:rPr>
          <w:rFonts w:ascii="Segoe UI" w:eastAsia="Times New Roman" w:hAnsi="Segoe UI" w:cs="Segoe UI"/>
          <w:color w:val="000000"/>
          <w:sz w:val="22"/>
          <w:lang w:eastAsia="es-CO"/>
        </w:rPr>
        <w:fldChar w:fldCharType="separate"/>
      </w:r>
      <w:r w:rsidRPr="00FD3458">
        <w:rPr>
          <w:rFonts w:ascii="Segoe UI" w:eastAsia="Times New Roman" w:hAnsi="Segoe UI" w:cs="Segoe UI"/>
          <w:color w:val="0089E1"/>
          <w:sz w:val="22"/>
          <w:lang w:eastAsia="es-CO"/>
        </w:rPr>
        <w:t>[35]</w:t>
      </w:r>
      <w:r w:rsidRPr="00FD3458">
        <w:rPr>
          <w:rFonts w:ascii="Segoe UI" w:eastAsia="Times New Roman" w:hAnsi="Segoe UI" w:cs="Segoe UI"/>
          <w:color w:val="000000"/>
          <w:sz w:val="22"/>
          <w:lang w:eastAsia="es-CO"/>
        </w:rPr>
        <w:fldChar w:fldCharType="end"/>
      </w:r>
      <w:bookmarkEnd w:id="34"/>
      <w:r w:rsidRPr="00FD3458">
        <w:rPr>
          <w:rFonts w:ascii="Segoe UI" w:eastAsia="Times New Roman" w:hAnsi="Segoe UI" w:cs="Segoe UI"/>
          <w:color w:val="000000"/>
          <w:sz w:val="22"/>
          <w:lang w:eastAsia="es-CO"/>
        </w:rPr>
        <w:t> con fondos de la cuenta corriente nro. 0013-05-12-33-0100011727</w:t>
      </w:r>
      <w:bookmarkStart w:id="35" w:name="_ftnref36"/>
      <w:r w:rsidRPr="00FD3458">
        <w:rPr>
          <w:rFonts w:ascii="Segoe UI" w:eastAsia="Times New Roman" w:hAnsi="Segoe UI" w:cs="Segoe UI"/>
          <w:color w:val="000000"/>
          <w:sz w:val="22"/>
          <w:lang w:eastAsia="es-CO"/>
        </w:rPr>
        <w:fldChar w:fldCharType="begin"/>
      </w:r>
      <w:r w:rsidRPr="00FD3458">
        <w:rPr>
          <w:rFonts w:ascii="Segoe UI" w:eastAsia="Times New Roman" w:hAnsi="Segoe UI" w:cs="Segoe UI"/>
          <w:color w:val="000000"/>
          <w:sz w:val="22"/>
          <w:lang w:eastAsia="es-CO"/>
        </w:rPr>
        <w:instrText xml:space="preserve"> HYPERLINK "https://www.ceta.org.co/html/vista_de_un_documento.asp?DocumentoID=36544" \l "_ftn36" \o "" </w:instrText>
      </w:r>
      <w:r w:rsidRPr="00FD3458">
        <w:rPr>
          <w:rFonts w:ascii="Segoe UI" w:eastAsia="Times New Roman" w:hAnsi="Segoe UI" w:cs="Segoe UI"/>
          <w:color w:val="000000"/>
          <w:sz w:val="22"/>
          <w:lang w:eastAsia="es-CO"/>
        </w:rPr>
        <w:fldChar w:fldCharType="separate"/>
      </w:r>
      <w:r w:rsidRPr="00FD3458">
        <w:rPr>
          <w:rFonts w:ascii="Segoe UI" w:eastAsia="Times New Roman" w:hAnsi="Segoe UI" w:cs="Segoe UI"/>
          <w:color w:val="0089E1"/>
          <w:sz w:val="22"/>
          <w:lang w:eastAsia="es-CO"/>
        </w:rPr>
        <w:t>[36]</w:t>
      </w:r>
      <w:r w:rsidRPr="00FD3458">
        <w:rPr>
          <w:rFonts w:ascii="Segoe UI" w:eastAsia="Times New Roman" w:hAnsi="Segoe UI" w:cs="Segoe UI"/>
          <w:color w:val="000000"/>
          <w:sz w:val="22"/>
          <w:lang w:eastAsia="es-CO"/>
        </w:rPr>
        <w:fldChar w:fldCharType="end"/>
      </w:r>
      <w:bookmarkEnd w:id="35"/>
      <w:r w:rsidRPr="00FD3458">
        <w:rPr>
          <w:rFonts w:ascii="Segoe UI" w:eastAsia="Times New Roman" w:hAnsi="Segoe UI" w:cs="Segoe UI"/>
          <w:color w:val="000000"/>
          <w:sz w:val="22"/>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Como para esa fecha, el demandante ejercía actividad de comercio y, la DIAN probó que en la citada cuenta, el demandante manejaba recursos propios, aunque esta estaba a nombre de un tercero, se mantiene la suma de $16.250.000, para efectos de aplicar la fórmula prevista en el </w:t>
      </w:r>
      <w:hyperlink r:id="rId32" w:tooltip="Estatuto Tributario CETA" w:history="1">
        <w:r w:rsidRPr="00FD3458">
          <w:rPr>
            <w:rFonts w:ascii="Segoe UI" w:eastAsia="Times New Roman" w:hAnsi="Segoe UI" w:cs="Segoe UI"/>
            <w:color w:val="0089E1"/>
            <w:sz w:val="22"/>
            <w:lang w:eastAsia="es-CO"/>
          </w:rPr>
          <w:t>artículo 760</w:t>
        </w:r>
      </w:hyperlink>
      <w:r w:rsidRPr="00FD3458">
        <w:rPr>
          <w:rFonts w:ascii="Segoe UI" w:eastAsia="Times New Roman" w:hAnsi="Segoe UI" w:cs="Segoe UI"/>
          <w:color w:val="000000"/>
          <w:sz w:val="22"/>
          <w:lang w:eastAsia="es-CO"/>
        </w:rPr>
        <w:t> del ET.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2.9 En conclusión, de los $541.742.669 en discusión, se mantiene la suma de $223.194.527 por concepto de compras no registradas en la contabilidad del demandante, facturada a nombre de terceros.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2.10 Lo anterior conduce a que se modifique el cálculo realizado por la DIAN en la liquidación oficial de revisión demandada, del que es necesario mencionar, incurrió en error al incluir la suma de $184.006.000 que conforme se puso de manifiesto en el numeral 2.7 de esta providencia, fue adicionado como ingreso con ocasión de la corrección a la declaración inicial, por lo tanto, no encuentra la Sala razón para que se mantenga en dicho cálculo.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2.11 Por lo tanto, como compras no registradas en la contabilidad, se pasa de la suma de $725.748.979 a la de $223.194.527, conforme con el siguiente cuadro comparativo:</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1960"/>
        <w:gridCol w:w="1718"/>
        <w:gridCol w:w="1928"/>
      </w:tblGrid>
      <w:tr w:rsidR="00FD3458" w:rsidRPr="00FD3458" w:rsidTr="00FD345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Compras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LOR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Consejo de Estado</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José Benítez Ortega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$292.369.869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$141.044.342</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lastRenderedPageBreak/>
              <w:t>Ninfa Rocha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$65.900.185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$65.900.185</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Omar García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$183.472.925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$16.250.000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Pasión Peña Castro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$184.006.000</w:t>
            </w:r>
            <w:bookmarkStart w:id="36" w:name="_ftnref37"/>
            <w:r w:rsidRPr="00FD3458">
              <w:rPr>
                <w:rFonts w:ascii="Segoe UI" w:eastAsia="Times New Roman" w:hAnsi="Segoe UI" w:cs="Segoe UI"/>
                <w:sz w:val="20"/>
                <w:szCs w:val="20"/>
                <w:lang w:eastAsia="es-CO"/>
              </w:rPr>
              <w:fldChar w:fldCharType="begin"/>
            </w:r>
            <w:r w:rsidRPr="00FD3458">
              <w:rPr>
                <w:rFonts w:ascii="Segoe UI" w:eastAsia="Times New Roman" w:hAnsi="Segoe UI" w:cs="Segoe UI"/>
                <w:sz w:val="20"/>
                <w:szCs w:val="20"/>
                <w:lang w:eastAsia="es-CO"/>
              </w:rPr>
              <w:instrText xml:space="preserve"> HYPERLINK "https://www.ceta.org.co/html/vista_de_un_documento.asp?DocumentoID=36544" \l "_ftn37" \o "" </w:instrText>
            </w:r>
            <w:r w:rsidRPr="00FD3458">
              <w:rPr>
                <w:rFonts w:ascii="Segoe UI" w:eastAsia="Times New Roman" w:hAnsi="Segoe UI" w:cs="Segoe UI"/>
                <w:sz w:val="20"/>
                <w:szCs w:val="20"/>
                <w:lang w:eastAsia="es-CO"/>
              </w:rPr>
              <w:fldChar w:fldCharType="separate"/>
            </w:r>
            <w:r w:rsidRPr="00FD3458">
              <w:rPr>
                <w:rFonts w:ascii="Segoe UI" w:eastAsia="Times New Roman" w:hAnsi="Segoe UI" w:cs="Segoe UI"/>
                <w:color w:val="0089E1"/>
                <w:sz w:val="20"/>
                <w:szCs w:val="20"/>
                <w:lang w:eastAsia="es-CO"/>
              </w:rPr>
              <w:t>[37]</w:t>
            </w:r>
            <w:r w:rsidRPr="00FD3458">
              <w:rPr>
                <w:rFonts w:ascii="Segoe UI" w:eastAsia="Times New Roman" w:hAnsi="Segoe UI" w:cs="Segoe UI"/>
                <w:sz w:val="20"/>
                <w:szCs w:val="20"/>
                <w:lang w:eastAsia="es-CO"/>
              </w:rPr>
              <w:fldChar w:fldCharType="end"/>
            </w:r>
            <w:bookmarkEnd w:id="36"/>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b/>
                <w:bCs/>
                <w:sz w:val="20"/>
                <w:szCs w:val="20"/>
                <w:lang w:eastAsia="es-CO"/>
              </w:rPr>
              <w:t>Total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b/>
                <w:bCs/>
                <w:sz w:val="20"/>
                <w:szCs w:val="20"/>
                <w:lang w:eastAsia="es-CO"/>
              </w:rPr>
              <w:t>$725.748.979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b/>
                <w:bCs/>
                <w:sz w:val="20"/>
                <w:szCs w:val="20"/>
                <w:lang w:eastAsia="es-CO"/>
              </w:rPr>
              <w:t>$223.194.527</w:t>
            </w:r>
          </w:p>
        </w:tc>
      </w:tr>
    </w:tbl>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2.12 Con esta información, se procede a aplicar la fórmula del </w:t>
      </w:r>
      <w:hyperlink r:id="rId33" w:tooltip="Estatuto Tributario CETA" w:history="1">
        <w:r w:rsidRPr="00FD3458">
          <w:rPr>
            <w:rFonts w:ascii="Segoe UI" w:eastAsia="Times New Roman" w:hAnsi="Segoe UI" w:cs="Segoe UI"/>
            <w:color w:val="0089E1"/>
            <w:sz w:val="18"/>
            <w:szCs w:val="18"/>
            <w:lang w:eastAsia="es-CO"/>
          </w:rPr>
          <w:t>artículo 760</w:t>
        </w:r>
      </w:hyperlink>
      <w:r w:rsidRPr="00FD3458">
        <w:rPr>
          <w:rFonts w:ascii="Segoe UI" w:eastAsia="Times New Roman" w:hAnsi="Segoe UI" w:cs="Segoe UI"/>
          <w:color w:val="000000"/>
          <w:sz w:val="18"/>
          <w:szCs w:val="18"/>
          <w:lang w:eastAsia="es-CO"/>
        </w:rPr>
        <w:t> del ET</w:t>
      </w:r>
      <w:bookmarkStart w:id="37" w:name="_ftnref38"/>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"_ftn38"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[38]</w:t>
      </w:r>
      <w:r w:rsidRPr="00FD3458">
        <w:rPr>
          <w:rFonts w:ascii="Segoe UI" w:eastAsia="Times New Roman" w:hAnsi="Segoe UI" w:cs="Segoe UI"/>
          <w:color w:val="000000"/>
          <w:sz w:val="18"/>
          <w:szCs w:val="18"/>
          <w:lang w:eastAsia="es-CO"/>
        </w:rPr>
        <w:fldChar w:fldCharType="end"/>
      </w:r>
      <w:bookmarkEnd w:id="37"/>
      <w:r w:rsidRPr="00FD3458">
        <w:rPr>
          <w:rFonts w:ascii="Segoe UI" w:eastAsia="Times New Roman" w:hAnsi="Segoe UI" w:cs="Segoe UI"/>
          <w:color w:val="000000"/>
          <w:sz w:val="18"/>
          <w:szCs w:val="18"/>
          <w:lang w:eastAsia="es-CO"/>
        </w:rPr>
        <w:t>, así:</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tbl>
      <w:tblPr>
        <w:tblW w:w="0" w:type="auto"/>
        <w:jc w:val="center"/>
        <w:tblCellMar>
          <w:left w:w="0" w:type="dxa"/>
          <w:right w:w="0" w:type="dxa"/>
        </w:tblCellMar>
        <w:tblLook w:val="04A0" w:firstRow="1" w:lastRow="0" w:firstColumn="1" w:lastColumn="0" w:noHBand="0" w:noVBand="1"/>
      </w:tblPr>
      <w:tblGrid>
        <w:gridCol w:w="2335"/>
        <w:gridCol w:w="4026"/>
      </w:tblGrid>
      <w:tr w:rsidR="00FD3458" w:rsidRPr="00FD3458" w:rsidTr="00FD3458">
        <w:trPr>
          <w:jc w:val="center"/>
        </w:trPr>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Renta bruta operacional</w:t>
            </w: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 xml:space="preserve">= Ingresos </w:t>
            </w:r>
            <w:proofErr w:type="spellStart"/>
            <w:r w:rsidRPr="00FD3458">
              <w:rPr>
                <w:rFonts w:ascii="Segoe UI" w:eastAsia="Times New Roman" w:hAnsi="Segoe UI" w:cs="Segoe UI"/>
                <w:sz w:val="20"/>
                <w:szCs w:val="20"/>
                <w:lang w:eastAsia="es-CO"/>
              </w:rPr>
              <w:t>operac</w:t>
            </w:r>
            <w:proofErr w:type="spellEnd"/>
            <w:r w:rsidRPr="00FD3458">
              <w:rPr>
                <w:rFonts w:ascii="Segoe UI" w:eastAsia="Times New Roman" w:hAnsi="Segoe UI" w:cs="Segoe UI"/>
                <w:sz w:val="20"/>
                <w:szCs w:val="20"/>
                <w:lang w:eastAsia="es-CO"/>
              </w:rPr>
              <w:t xml:space="preserve">./ 04 – costos </w:t>
            </w:r>
            <w:proofErr w:type="spellStart"/>
            <w:r w:rsidRPr="00FD3458">
              <w:rPr>
                <w:rFonts w:ascii="Segoe UI" w:eastAsia="Times New Roman" w:hAnsi="Segoe UI" w:cs="Segoe UI"/>
                <w:sz w:val="20"/>
                <w:szCs w:val="20"/>
                <w:lang w:eastAsia="es-CO"/>
              </w:rPr>
              <w:t>operac</w:t>
            </w:r>
            <w:proofErr w:type="spellEnd"/>
            <w:r w:rsidRPr="00FD3458">
              <w:rPr>
                <w:rFonts w:ascii="Segoe UI" w:eastAsia="Times New Roman" w:hAnsi="Segoe UI" w:cs="Segoe UI"/>
                <w:sz w:val="20"/>
                <w:szCs w:val="20"/>
                <w:lang w:eastAsia="es-CO"/>
              </w:rPr>
              <w:t>./ 04</w:t>
            </w:r>
          </w:p>
        </w:tc>
      </w:tr>
      <w:tr w:rsidR="00FD3458" w:rsidRPr="00FD3458" w:rsidTr="00FD3458">
        <w:trPr>
          <w:jc w:val="center"/>
        </w:trPr>
        <w:tc>
          <w:tcPr>
            <w:tcW w:w="0" w:type="auto"/>
            <w:vMerge/>
            <w:tcBorders>
              <w:top w:val="nil"/>
              <w:left w:val="nil"/>
              <w:bottom w:val="nil"/>
              <w:right w:val="nil"/>
            </w:tcBorders>
            <w:vAlign w:val="center"/>
            <w:hideMark/>
          </w:tcPr>
          <w:p w:rsidR="00FD3458" w:rsidRPr="00FD3458" w:rsidRDefault="00FD3458" w:rsidP="00FD3458">
            <w:pPr>
              <w:spacing w:after="0" w:line="24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 976.745.000 – 928.565.000 = 48.180.000</w:t>
            </w:r>
          </w:p>
        </w:tc>
      </w:tr>
    </w:tbl>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Calibri" w:eastAsia="Times New Roman" w:hAnsi="Calibri" w:cs="Calibr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583"/>
        <w:gridCol w:w="2886"/>
      </w:tblGrid>
      <w:tr w:rsidR="00FD3458" w:rsidRPr="00FD3458" w:rsidTr="00FD3458">
        <w:trPr>
          <w:jc w:val="center"/>
        </w:trPr>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Porcentaje utilidad bruta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sz w:val="20"/>
                <w:szCs w:val="20"/>
                <w:lang w:eastAsia="es-CO"/>
              </w:rPr>
              <w:t>Renta bruta operacional X 100</w:t>
            </w:r>
          </w:p>
        </w:tc>
      </w:tr>
      <w:tr w:rsidR="00FD3458" w:rsidRPr="00FD3458" w:rsidTr="00FD3458">
        <w:trPr>
          <w:jc w:val="center"/>
        </w:trPr>
        <w:tc>
          <w:tcPr>
            <w:tcW w:w="0" w:type="auto"/>
            <w:vMerge/>
            <w:tcBorders>
              <w:top w:val="nil"/>
              <w:left w:val="nil"/>
              <w:bottom w:val="nil"/>
              <w:right w:val="nil"/>
            </w:tcBorders>
            <w:vAlign w:val="center"/>
            <w:hideMark/>
          </w:tcPr>
          <w:p w:rsidR="00FD3458" w:rsidRPr="00FD3458" w:rsidRDefault="00FD3458" w:rsidP="00FD3458">
            <w:pPr>
              <w:spacing w:after="0" w:line="24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sz w:val="20"/>
                <w:szCs w:val="20"/>
                <w:lang w:eastAsia="es-CO"/>
              </w:rPr>
              <w:t>Ingresos brutos operacionales</w:t>
            </w:r>
          </w:p>
        </w:tc>
      </w:tr>
    </w:tbl>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Calibri" w:eastAsia="Times New Roman" w:hAnsi="Calibri" w:cs="Calibr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583"/>
        <w:gridCol w:w="1274"/>
        <w:gridCol w:w="2716"/>
      </w:tblGrid>
      <w:tr w:rsidR="00FD3458" w:rsidRPr="00FD3458" w:rsidTr="00FD3458">
        <w:trPr>
          <w:jc w:val="center"/>
        </w:trPr>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Porcentaje utilidad bruta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sz w:val="20"/>
                <w:szCs w:val="20"/>
                <w:lang w:eastAsia="es-CO"/>
              </w:rPr>
              <w:t>48.180.000</w:t>
            </w:r>
          </w:p>
        </w:tc>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sz w:val="20"/>
                <w:szCs w:val="20"/>
                <w:lang w:eastAsia="es-CO"/>
              </w:rPr>
              <w:t>x 100 = 0.04932 = 4.932%</w:t>
            </w:r>
          </w:p>
        </w:tc>
      </w:tr>
      <w:tr w:rsidR="00FD3458" w:rsidRPr="00FD3458" w:rsidTr="00FD3458">
        <w:trPr>
          <w:jc w:val="center"/>
        </w:trPr>
        <w:tc>
          <w:tcPr>
            <w:tcW w:w="0" w:type="auto"/>
            <w:vMerge/>
            <w:tcBorders>
              <w:top w:val="nil"/>
              <w:left w:val="nil"/>
              <w:bottom w:val="nil"/>
              <w:right w:val="nil"/>
            </w:tcBorders>
            <w:vAlign w:val="center"/>
            <w:hideMark/>
          </w:tcPr>
          <w:p w:rsidR="00FD3458" w:rsidRPr="00FD3458" w:rsidRDefault="00FD3458" w:rsidP="00FD3458">
            <w:pPr>
              <w:spacing w:after="0" w:line="24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sz w:val="20"/>
                <w:szCs w:val="20"/>
                <w:lang w:eastAsia="es-CO"/>
              </w:rPr>
              <w:t>976.745.000</w:t>
            </w:r>
          </w:p>
        </w:tc>
        <w:tc>
          <w:tcPr>
            <w:tcW w:w="0" w:type="auto"/>
            <w:vMerge/>
            <w:tcBorders>
              <w:top w:val="nil"/>
              <w:left w:val="nil"/>
              <w:bottom w:val="nil"/>
              <w:right w:val="nil"/>
            </w:tcBorders>
            <w:vAlign w:val="center"/>
            <w:hideMark/>
          </w:tcPr>
          <w:p w:rsidR="00FD3458" w:rsidRPr="00FD3458" w:rsidRDefault="00FD3458" w:rsidP="00FD3458">
            <w:pPr>
              <w:spacing w:after="0" w:line="240" w:lineRule="auto"/>
              <w:rPr>
                <w:rFonts w:eastAsia="Times New Roman" w:cs="Times New Roman"/>
                <w:szCs w:val="24"/>
                <w:lang w:eastAsia="es-CO"/>
              </w:rPr>
            </w:pPr>
          </w:p>
        </w:tc>
      </w:tr>
      <w:tr w:rsidR="00FD3458" w:rsidRPr="00FD3458" w:rsidTr="00FD3458">
        <w:trPr>
          <w:jc w:val="center"/>
        </w:trPr>
        <w:tc>
          <w:tcPr>
            <w:tcW w:w="0" w:type="auto"/>
            <w:vMerge/>
            <w:tcBorders>
              <w:top w:val="nil"/>
              <w:left w:val="nil"/>
              <w:bottom w:val="nil"/>
              <w:right w:val="nil"/>
            </w:tcBorders>
            <w:vAlign w:val="center"/>
            <w:hideMark/>
          </w:tcPr>
          <w:p w:rsidR="00FD3458" w:rsidRPr="00FD3458" w:rsidRDefault="00FD3458" w:rsidP="00FD3458">
            <w:pPr>
              <w:spacing w:after="0" w:line="24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sz w:val="20"/>
                <w:szCs w:val="20"/>
                <w:lang w:eastAsia="es-CO"/>
              </w:rPr>
              <w:t>= 100% - 4.932% = 95.068%</w:t>
            </w:r>
          </w:p>
        </w:tc>
      </w:tr>
    </w:tbl>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Calibri" w:eastAsia="Times New Roman" w:hAnsi="Calibri" w:cs="Calibr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982"/>
        <w:gridCol w:w="1817"/>
      </w:tblGrid>
      <w:tr w:rsidR="00FD3458" w:rsidRPr="00FD3458" w:rsidTr="00FD3458">
        <w:trPr>
          <w:jc w:val="center"/>
        </w:trPr>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Ingresos omitidos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sz w:val="20"/>
                <w:szCs w:val="20"/>
                <w:lang w:eastAsia="es-CO"/>
              </w:rPr>
              <w:t>Compras omitidas</w:t>
            </w:r>
          </w:p>
        </w:tc>
      </w:tr>
      <w:tr w:rsidR="00FD3458" w:rsidRPr="00FD3458" w:rsidTr="00FD3458">
        <w:trPr>
          <w:jc w:val="center"/>
        </w:trPr>
        <w:tc>
          <w:tcPr>
            <w:tcW w:w="0" w:type="auto"/>
            <w:vMerge/>
            <w:tcBorders>
              <w:top w:val="nil"/>
              <w:left w:val="nil"/>
              <w:bottom w:val="nil"/>
              <w:right w:val="nil"/>
            </w:tcBorders>
            <w:vAlign w:val="center"/>
            <w:hideMark/>
          </w:tcPr>
          <w:p w:rsidR="00FD3458" w:rsidRPr="00FD3458" w:rsidRDefault="00FD3458" w:rsidP="00FD3458">
            <w:pPr>
              <w:spacing w:after="0" w:line="24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sz w:val="20"/>
                <w:szCs w:val="20"/>
                <w:lang w:eastAsia="es-CO"/>
              </w:rPr>
              <w:t>95.068%</w:t>
            </w:r>
          </w:p>
        </w:tc>
      </w:tr>
    </w:tbl>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Calibri" w:eastAsia="Times New Roman" w:hAnsi="Calibri" w:cs="Calibr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3278"/>
        <w:gridCol w:w="1274"/>
        <w:gridCol w:w="1465"/>
      </w:tblGrid>
      <w:tr w:rsidR="00FD3458" w:rsidRPr="00FD3458" w:rsidTr="00FD3458">
        <w:trPr>
          <w:jc w:val="center"/>
        </w:trPr>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Presunción de ingresos omitidos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sz w:val="20"/>
                <w:szCs w:val="20"/>
                <w:lang w:eastAsia="es-CO"/>
              </w:rPr>
              <w:t>223.194.527</w:t>
            </w:r>
          </w:p>
        </w:tc>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rPr>
                <w:rFonts w:eastAsia="Times New Roman" w:cs="Times New Roman"/>
                <w:szCs w:val="24"/>
                <w:lang w:eastAsia="es-CO"/>
              </w:rPr>
            </w:pPr>
            <w:r w:rsidRPr="00FD3458">
              <w:rPr>
                <w:rFonts w:ascii="Segoe UI" w:eastAsia="Times New Roman" w:hAnsi="Segoe UI" w:cs="Segoe UI"/>
                <w:sz w:val="20"/>
                <w:szCs w:val="20"/>
                <w:lang w:eastAsia="es-CO"/>
              </w:rPr>
              <w:t>= 234.773.558</w:t>
            </w:r>
          </w:p>
        </w:tc>
      </w:tr>
      <w:tr w:rsidR="00FD3458" w:rsidRPr="00FD3458" w:rsidTr="00FD3458">
        <w:trPr>
          <w:jc w:val="center"/>
        </w:trPr>
        <w:tc>
          <w:tcPr>
            <w:tcW w:w="0" w:type="auto"/>
            <w:vMerge/>
            <w:tcBorders>
              <w:top w:val="nil"/>
              <w:left w:val="nil"/>
              <w:bottom w:val="nil"/>
              <w:right w:val="nil"/>
            </w:tcBorders>
            <w:vAlign w:val="center"/>
            <w:hideMark/>
          </w:tcPr>
          <w:p w:rsidR="00FD3458" w:rsidRPr="00FD3458" w:rsidRDefault="00FD3458" w:rsidP="00FD3458">
            <w:pPr>
              <w:spacing w:after="0" w:line="240" w:lineRule="auto"/>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sz w:val="20"/>
                <w:szCs w:val="20"/>
                <w:lang w:eastAsia="es-CO"/>
              </w:rPr>
              <w:t>95.068%</w:t>
            </w:r>
          </w:p>
        </w:tc>
        <w:tc>
          <w:tcPr>
            <w:tcW w:w="0" w:type="auto"/>
            <w:vMerge/>
            <w:tcBorders>
              <w:top w:val="nil"/>
              <w:left w:val="nil"/>
              <w:bottom w:val="nil"/>
              <w:right w:val="nil"/>
            </w:tcBorders>
            <w:vAlign w:val="center"/>
            <w:hideMark/>
          </w:tcPr>
          <w:p w:rsidR="00FD3458" w:rsidRPr="00FD3458" w:rsidRDefault="00FD3458" w:rsidP="00FD3458">
            <w:pPr>
              <w:spacing w:after="0" w:line="240" w:lineRule="auto"/>
              <w:rPr>
                <w:rFonts w:eastAsia="Times New Roman" w:cs="Times New Roman"/>
                <w:szCs w:val="24"/>
                <w:lang w:eastAsia="es-CO"/>
              </w:rPr>
            </w:pPr>
          </w:p>
        </w:tc>
      </w:tr>
    </w:tbl>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2.13 Por lo que se concluye que el demandante omitió ingresos por $234.773.558, de los $763.938.252 determinados por la DIAN en la liquidación oficial de revisión demandada, lo que conduce a que se declare su nulidad parcial, no sin antes advertir que la suma calculada en los términos del </w:t>
      </w:r>
      <w:hyperlink r:id="rId34" w:tooltip="Estatuto Tributario CETA" w:history="1">
        <w:r w:rsidRPr="00FD3458">
          <w:rPr>
            <w:rFonts w:ascii="Segoe UI" w:eastAsia="Times New Roman" w:hAnsi="Segoe UI" w:cs="Segoe UI"/>
            <w:color w:val="0089E1"/>
            <w:sz w:val="18"/>
            <w:szCs w:val="18"/>
            <w:lang w:eastAsia="es-CO"/>
          </w:rPr>
          <w:t>artículo 760</w:t>
        </w:r>
      </w:hyperlink>
      <w:r w:rsidRPr="00FD3458">
        <w:rPr>
          <w:rFonts w:ascii="Segoe UI" w:eastAsia="Times New Roman" w:hAnsi="Segoe UI" w:cs="Segoe UI"/>
          <w:color w:val="000000"/>
          <w:sz w:val="18"/>
          <w:szCs w:val="18"/>
          <w:lang w:eastAsia="es-CO"/>
        </w:rPr>
        <w:t> del ET, constituye renta líquida gravable, por lo que no está sujeta a depuración ni con costos ni con deducciones.</w:t>
      </w:r>
      <w:bookmarkStart w:id="38" w:name="_ftnref39"/>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"_ftn39"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[39]</w:t>
      </w:r>
      <w:r w:rsidRPr="00FD3458">
        <w:rPr>
          <w:rFonts w:ascii="Segoe UI" w:eastAsia="Times New Roman" w:hAnsi="Segoe UI" w:cs="Segoe UI"/>
          <w:color w:val="000000"/>
          <w:sz w:val="18"/>
          <w:szCs w:val="18"/>
          <w:lang w:eastAsia="es-CO"/>
        </w:rPr>
        <w:fldChar w:fldCharType="end"/>
      </w:r>
      <w:bookmarkEnd w:id="38"/>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3. La sanción por inexactitud</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shd w:val="clear" w:color="auto" w:fill="E6E6E6"/>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Como está probado </w:t>
      </w:r>
      <w:proofErr w:type="gramStart"/>
      <w:r w:rsidRPr="00FD3458">
        <w:rPr>
          <w:rFonts w:ascii="Segoe UI" w:eastAsia="Times New Roman" w:hAnsi="Segoe UI" w:cs="Segoe UI"/>
          <w:color w:val="000000"/>
          <w:sz w:val="18"/>
          <w:szCs w:val="18"/>
          <w:lang w:eastAsia="es-CO"/>
        </w:rPr>
        <w:t>que</w:t>
      </w:r>
      <w:proofErr w:type="gramEnd"/>
      <w:r w:rsidRPr="00FD3458">
        <w:rPr>
          <w:rFonts w:ascii="Segoe UI" w:eastAsia="Times New Roman" w:hAnsi="Segoe UI" w:cs="Segoe UI"/>
          <w:color w:val="000000"/>
          <w:sz w:val="18"/>
          <w:szCs w:val="18"/>
          <w:lang w:eastAsia="es-CO"/>
        </w:rPr>
        <w:t xml:space="preserve"> en la declaración de renta del año 2004, el contribuyente incurrió en inexactitudes que derivaron en un menor impuesto a cargo, se mantiene la sanción impuesta por la DIAN en la liquidación oficial de revisión demandada.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Sin embargo, la Sala advierte que, al igual que en otros casos</w:t>
      </w:r>
      <w:bookmarkStart w:id="39" w:name="_ftnref40"/>
      <w:r w:rsidRPr="00FD3458">
        <w:rPr>
          <w:rFonts w:ascii="Segoe UI" w:eastAsia="Times New Roman" w:hAnsi="Segoe UI" w:cs="Segoe UI"/>
          <w:color w:val="000000"/>
          <w:sz w:val="18"/>
          <w:szCs w:val="18"/>
          <w:lang w:eastAsia="es-CO"/>
        </w:rPr>
        <w:fldChar w:fldCharType="begin"/>
      </w:r>
      <w:r w:rsidRPr="00FD3458">
        <w:rPr>
          <w:rFonts w:ascii="Segoe UI" w:eastAsia="Times New Roman" w:hAnsi="Segoe UI" w:cs="Segoe UI"/>
          <w:color w:val="000000"/>
          <w:sz w:val="18"/>
          <w:szCs w:val="18"/>
          <w:lang w:eastAsia="es-CO"/>
        </w:rPr>
        <w:instrText xml:space="preserve"> HYPERLINK "https://www.ceta.org.co/html/vista_de_un_documento.asp?DocumentoID=36544" \l "_ftn40" \o "" </w:instrText>
      </w:r>
      <w:r w:rsidRPr="00FD3458">
        <w:rPr>
          <w:rFonts w:ascii="Segoe UI" w:eastAsia="Times New Roman" w:hAnsi="Segoe UI" w:cs="Segoe UI"/>
          <w:color w:val="000000"/>
          <w:sz w:val="18"/>
          <w:szCs w:val="18"/>
          <w:lang w:eastAsia="es-CO"/>
        </w:rPr>
        <w:fldChar w:fldCharType="separate"/>
      </w:r>
      <w:r w:rsidRPr="00FD3458">
        <w:rPr>
          <w:rFonts w:ascii="Segoe UI" w:eastAsia="Times New Roman" w:hAnsi="Segoe UI" w:cs="Segoe UI"/>
          <w:color w:val="0089E1"/>
          <w:sz w:val="22"/>
          <w:lang w:eastAsia="es-CO"/>
        </w:rPr>
        <w:t>[40]</w:t>
      </w:r>
      <w:r w:rsidRPr="00FD3458">
        <w:rPr>
          <w:rFonts w:ascii="Segoe UI" w:eastAsia="Times New Roman" w:hAnsi="Segoe UI" w:cs="Segoe UI"/>
          <w:color w:val="000000"/>
          <w:sz w:val="18"/>
          <w:szCs w:val="18"/>
          <w:lang w:eastAsia="es-CO"/>
        </w:rPr>
        <w:fldChar w:fldCharType="end"/>
      </w:r>
      <w:bookmarkEnd w:id="39"/>
      <w:r w:rsidRPr="00FD3458">
        <w:rPr>
          <w:rFonts w:ascii="Segoe UI" w:eastAsia="Times New Roman" w:hAnsi="Segoe UI" w:cs="Segoe UI"/>
          <w:color w:val="000000"/>
          <w:sz w:val="18"/>
          <w:szCs w:val="18"/>
          <w:lang w:eastAsia="es-CO"/>
        </w:rPr>
        <w:t>, se debe aplicar el principio de favorabilidad.</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En consecuencia, dicha sanción será equivalente al 100% sobre la base determinada por la DIAN, y no del 160% como se liquidó de manera oficial.</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4. Conclusión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hd w:val="clear" w:color="auto" w:fill="FFFFFF"/>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Conforme con lo expuesto, se modificará la sentencia del Tribunal y, en su lugar, se declarará la nulidad parcial de la liquidación oficial de revisión demandada.</w:t>
      </w:r>
    </w:p>
    <w:p w:rsidR="00FD3458" w:rsidRPr="00FD3458" w:rsidRDefault="00FD3458" w:rsidP="00FD3458">
      <w:pPr>
        <w:shd w:val="clear" w:color="auto" w:fill="FFFFFF"/>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Como consecuencia de lo anterior y, a título de restablecimiento del derecho, se procederá a practicar nueva liquidación del impuesto a cargo del contribuyente, teniendo en cuenta que: (i) la adición de ingresos por la presunción de renta presuntiva por consignaciones en cuentas bancarias se mantiene en $98.630.395, porque no fue objeto de discusión en sede jurisdiccional, (ii) la presunción de ingresos por omisión del registro de compras es de $234.773.558, como se determinó en esta providencia y (iii) la sanción por inexactitud corresponde al 100%.</w:t>
      </w:r>
    </w:p>
    <w:p w:rsidR="00FD3458" w:rsidRPr="00FD3458" w:rsidRDefault="00FD3458" w:rsidP="00FD3458">
      <w:pPr>
        <w:shd w:val="clear" w:color="auto" w:fill="FFFFFF"/>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542"/>
        <w:gridCol w:w="1366"/>
        <w:gridCol w:w="2011"/>
        <w:gridCol w:w="1425"/>
        <w:gridCol w:w="1425"/>
      </w:tblGrid>
      <w:tr w:rsidR="00FD3458" w:rsidRPr="00FD3458" w:rsidTr="00FD345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LIQ PRIVADA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LIQ PRIV CORRECIÓN (SIC)</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L.O.R.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center"/>
              <w:rPr>
                <w:rFonts w:eastAsia="Times New Roman" w:cs="Times New Roman"/>
                <w:szCs w:val="24"/>
                <w:lang w:eastAsia="es-CO"/>
              </w:rPr>
            </w:pPr>
            <w:r w:rsidRPr="00FD3458">
              <w:rPr>
                <w:rFonts w:ascii="Segoe UI" w:eastAsia="Times New Roman" w:hAnsi="Segoe UI" w:cs="Segoe UI"/>
                <w:b/>
                <w:bCs/>
                <w:sz w:val="20"/>
                <w:szCs w:val="20"/>
                <w:lang w:eastAsia="es-CO"/>
              </w:rPr>
              <w:t>LIQ C. DE E.</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Efectivo, bancos, cuentas de ahorro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4.875.000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4.875.000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4.875.000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4.875.000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Cuentas por cobrar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12.780.000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12.780.000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12.780.000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12.780.000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Inventarios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34.553.000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34.553.000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34.553.000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34.553.000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Otros activos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3.700.000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3.700.000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3.700.000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3.700.000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Total patrimonio bruto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55.908.000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55.908.000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55.908.000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55.908.000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Total patrimonio líquido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55.908.000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55.908.000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55.908.000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55.908.000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lastRenderedPageBreak/>
              <w:t>Ingresos brutos operacionales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791.781.000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976.745.000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1.839.313.000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1.310.149.000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Intereses y rendimientos financieros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2.160.000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2.160.000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2.160.000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Total ingresos brutos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791.781.000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978.905.000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1.841.473.000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1.312.309.000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Total ingresos netos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791.781.000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978.905.000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1.841.473.000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1.312.309.000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Costo de venta (Sistema permanente)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752.201.000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928.565.000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928.565.000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928.565.000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Total costos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752.201.000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928.565.000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928.565.000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928.565.000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Otras deducciones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Total deducciones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4.140.000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Renta líquida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35.440.000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46.200.000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908.768.000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379.604.000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Renta líquida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35.440.000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46.200.000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908.768.000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379.604.000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Renta líquida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46.200.000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46.200.000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908.768.000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379.604.000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Impuesto sobre la renta líquida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3.384.000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6.342.000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306.333.000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121.125.000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Impuesto neto de renta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3.384.000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6.342.000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306.333.000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121.125.000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Sobretasa impuesto a la renta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338.000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634.000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30.633.000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12.113.000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Total impuesto a cargo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3.722.000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6.976.000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336.966.000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133.238.000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Otras 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3.579.000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5.703.000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5.703.000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5.703.000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Total retenciones año gravable 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3.579.000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5.703.000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5.703.000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5.703.000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210.000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527.858.000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126.262.000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Total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1.483.000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859.121.000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253.797.000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o Total saldo a favor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0</w:t>
            </w:r>
          </w:p>
        </w:tc>
      </w:tr>
    </w:tbl>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3834"/>
        <w:gridCol w:w="1274"/>
        <w:gridCol w:w="1274"/>
      </w:tblGrid>
      <w:tr w:rsidR="00FD3458" w:rsidRPr="00FD3458" w:rsidTr="00FD345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b/>
                <w:bCs/>
                <w:sz w:val="20"/>
                <w:szCs w:val="20"/>
                <w:lang w:eastAsia="es-CO"/>
              </w:rPr>
              <w:t>SANCIÓN POR INEXACTITUD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 </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Saldo a pagar declarado sin 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1.483.000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 </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Saldo a pagar determinado sin 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127.535.000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 </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Base 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126.052.000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Tarifa de sanción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126.052.000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 Sanción declarada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210.000</w:t>
            </w:r>
          </w:p>
        </w:tc>
      </w:tr>
      <w:tr w:rsidR="00FD3458" w:rsidRPr="00FD3458" w:rsidTr="00FD345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both"/>
              <w:rPr>
                <w:rFonts w:eastAsia="Times New Roman" w:cs="Times New Roman"/>
                <w:szCs w:val="24"/>
                <w:lang w:eastAsia="es-CO"/>
              </w:rPr>
            </w:pPr>
            <w:r w:rsidRPr="00FD3458">
              <w:rPr>
                <w:rFonts w:ascii="Segoe UI" w:eastAsia="Times New Roman" w:hAnsi="Segoe UI" w:cs="Segoe UI"/>
                <w:sz w:val="20"/>
                <w:szCs w:val="20"/>
                <w:lang w:eastAsia="es-CO"/>
              </w:rPr>
              <w:t>Total 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3458" w:rsidRPr="00FD3458" w:rsidRDefault="00FD3458" w:rsidP="00FD3458">
            <w:pPr>
              <w:spacing w:after="0" w:line="240" w:lineRule="auto"/>
              <w:jc w:val="right"/>
              <w:rPr>
                <w:rFonts w:eastAsia="Times New Roman" w:cs="Times New Roman"/>
                <w:szCs w:val="24"/>
                <w:lang w:eastAsia="es-CO"/>
              </w:rPr>
            </w:pPr>
            <w:r w:rsidRPr="00FD3458">
              <w:rPr>
                <w:rFonts w:ascii="Segoe UI" w:eastAsia="Times New Roman" w:hAnsi="Segoe UI" w:cs="Segoe UI"/>
                <w:sz w:val="20"/>
                <w:szCs w:val="20"/>
                <w:lang w:eastAsia="es-CO"/>
              </w:rPr>
              <w:t>126.262.000</w:t>
            </w:r>
          </w:p>
        </w:tc>
      </w:tr>
    </w:tbl>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En mérito de lo expuesto, </w:t>
      </w:r>
      <w:r w:rsidRPr="00FD3458">
        <w:rPr>
          <w:rFonts w:ascii="Segoe UI" w:eastAsia="Times New Roman" w:hAnsi="Segoe UI" w:cs="Segoe UI"/>
          <w:b/>
          <w:bCs/>
          <w:color w:val="000000"/>
          <w:sz w:val="18"/>
          <w:szCs w:val="18"/>
          <w:lang w:eastAsia="es-CO"/>
        </w:rPr>
        <w:t>la Sección Cuarta de la Sala de lo Contencioso Administrativo del Consejo de Estado</w:t>
      </w:r>
      <w:r w:rsidRPr="00FD3458">
        <w:rPr>
          <w:rFonts w:ascii="Segoe UI" w:eastAsia="Times New Roman" w:hAnsi="Segoe UI" w:cs="Segoe UI"/>
          <w:color w:val="000000"/>
          <w:sz w:val="18"/>
          <w:szCs w:val="18"/>
          <w:lang w:eastAsia="es-CO"/>
        </w:rPr>
        <w:t>, administrando justicia en nombre de la República de Colombia y por autoridad de la ley,</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center"/>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FALLA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1. Modificar el numeral segundo de la sentencia de 5 de febrero de 2015, proferida por el Tribunal Administrativo de Boyacá. En su lugar:</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Declarar la nulidad parcial de la liquidación oficial de revisión nro. 200642008000001 de 15 de enero de 2008, por la que la UAE – DIAN modificó la declaración de renta del año 2004, presentada por el señor Pasión Peña Castro.</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ind w:left="180"/>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Como consecuencia de lo anterior y, a título de restablecimiento del derecho, se determina que el impuesto sobre la renta del año gravable 2004, a cargo del señor Pasión Peña Castro, corresponde a la liquidación practicada por esta Corporación, en los términos expuestos en la parte motiva de esta providencia.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2. Confirmar la sentencia apelada, en lo demás.</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xml:space="preserve">3. Reconocer personería a la doctora Yadira Vargas </w:t>
      </w:r>
      <w:proofErr w:type="spellStart"/>
      <w:r w:rsidRPr="00FD3458">
        <w:rPr>
          <w:rFonts w:ascii="Segoe UI" w:eastAsia="Times New Roman" w:hAnsi="Segoe UI" w:cs="Segoe UI"/>
          <w:color w:val="000000"/>
          <w:sz w:val="18"/>
          <w:szCs w:val="18"/>
          <w:lang w:eastAsia="es-CO"/>
        </w:rPr>
        <w:t>Roncancio</w:t>
      </w:r>
      <w:proofErr w:type="spellEnd"/>
      <w:r w:rsidRPr="00FD3458">
        <w:rPr>
          <w:rFonts w:ascii="Segoe UI" w:eastAsia="Times New Roman" w:hAnsi="Segoe UI" w:cs="Segoe UI"/>
          <w:color w:val="000000"/>
          <w:sz w:val="18"/>
          <w:szCs w:val="18"/>
          <w:lang w:eastAsia="es-CO"/>
        </w:rPr>
        <w:t>, como apoderada de la parte demandada, en los términos y para los efectos del poder conferido.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2"/>
          <w:lang w:eastAsia="es-CO"/>
        </w:rPr>
        <w:lastRenderedPageBreak/>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4. En firme esta decisión, devolver el expediente al Tribunal de origen.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Cópiese, notifíquese, comuníquese y cúmplase.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La anterior providencia se estudió y aprobó en sesión de la fecha.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JULIO ROBERTO PIZA RODRÍGUEZ</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18"/>
          <w:szCs w:val="18"/>
          <w:lang w:eastAsia="es-CO"/>
        </w:rPr>
        <w:t>Presidente de la Sección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STELLA JEANNETTE CARVAJAL BASTO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MILTON CHAVES GARCÍA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b/>
          <w:bCs/>
          <w:color w:val="000000"/>
          <w:sz w:val="18"/>
          <w:szCs w:val="18"/>
          <w:lang w:eastAsia="es-CO"/>
        </w:rPr>
        <w:t xml:space="preserve">JORGE OCTAVIO RAMÍREZ </w:t>
      </w:r>
      <w:proofErr w:type="spellStart"/>
      <w:r w:rsidRPr="00FD3458">
        <w:rPr>
          <w:rFonts w:ascii="Segoe UI" w:eastAsia="Times New Roman" w:hAnsi="Segoe UI" w:cs="Segoe UI"/>
          <w:b/>
          <w:bCs/>
          <w:color w:val="000000"/>
          <w:sz w:val="18"/>
          <w:szCs w:val="18"/>
          <w:lang w:eastAsia="es-CO"/>
        </w:rPr>
        <w:t>RAMÍREZ</w:t>
      </w:r>
      <w:proofErr w:type="spellEnd"/>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br w:type="textWrapping" w:clear="all"/>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pict>
          <v:rect id="_x0000_i1031" style="width:145pt;height:.6pt" o:hrpct="330" o:hrstd="t" o:hr="t" fillcolor="#a0a0a0" stroked="f"/>
        </w:pict>
      </w:r>
    </w:p>
    <w:bookmarkStart w:id="40" w:name="_ftn1"/>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"_ftnref1"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[1]</w:t>
      </w:r>
      <w:r w:rsidRPr="00FD3458">
        <w:rPr>
          <w:rFonts w:ascii="Arial" w:eastAsia="Times New Roman" w:hAnsi="Arial" w:cs="Arial"/>
          <w:color w:val="000000"/>
          <w:sz w:val="18"/>
          <w:szCs w:val="18"/>
          <w:lang w:eastAsia="es-CO"/>
        </w:rPr>
        <w:fldChar w:fldCharType="end"/>
      </w:r>
      <w:bookmarkEnd w:id="40"/>
      <w:r w:rsidRPr="00FD3458">
        <w:rPr>
          <w:rFonts w:ascii="Segoe UI" w:eastAsia="Times New Roman" w:hAnsi="Segoe UI" w:cs="Segoe UI"/>
          <w:color w:val="000000"/>
          <w:sz w:val="20"/>
          <w:szCs w:val="20"/>
          <w:lang w:eastAsia="es-CO"/>
        </w:rPr>
        <w:t> En las páginas 10 y 11 de la demanda aparecen tres (3) cuadros en los que la parte actora realiza una comparación entre la liquidación inicial, su corrección, el requerimiento especial y la liquidación oficial de revisión.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41" w:name="_ftn2"/>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"_ftnref2"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[2]</w:t>
      </w:r>
      <w:r w:rsidRPr="00FD3458">
        <w:rPr>
          <w:rFonts w:ascii="Arial" w:eastAsia="Times New Roman" w:hAnsi="Arial" w:cs="Arial"/>
          <w:color w:val="000000"/>
          <w:sz w:val="18"/>
          <w:szCs w:val="18"/>
          <w:lang w:eastAsia="es-CO"/>
        </w:rPr>
        <w:fldChar w:fldCharType="end"/>
      </w:r>
      <w:bookmarkEnd w:id="41"/>
      <w:r w:rsidRPr="00FD3458">
        <w:rPr>
          <w:rFonts w:ascii="Segoe UI" w:eastAsia="Times New Roman" w:hAnsi="Segoe UI" w:cs="Segoe UI"/>
          <w:color w:val="000000"/>
          <w:sz w:val="20"/>
          <w:szCs w:val="20"/>
          <w:lang w:eastAsia="es-CO"/>
        </w:rPr>
        <w:t> Sobre la ampliación al requerimiento especial la DIAN se pronunció en el Concepto Nro. 0212076976 de 28 de noviembre de 2002.</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42" w:name="_ftn3"/>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"_ftnref3"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[3]</w:t>
      </w:r>
      <w:r w:rsidRPr="00FD3458">
        <w:rPr>
          <w:rFonts w:ascii="Arial" w:eastAsia="Times New Roman" w:hAnsi="Arial" w:cs="Arial"/>
          <w:color w:val="000000"/>
          <w:sz w:val="18"/>
          <w:szCs w:val="18"/>
          <w:lang w:eastAsia="es-CO"/>
        </w:rPr>
        <w:fldChar w:fldCharType="end"/>
      </w:r>
      <w:bookmarkEnd w:id="42"/>
      <w:r w:rsidRPr="00FD3458">
        <w:rPr>
          <w:rFonts w:ascii="Segoe UI" w:eastAsia="Times New Roman" w:hAnsi="Segoe UI" w:cs="Segoe UI"/>
          <w:color w:val="000000"/>
          <w:sz w:val="20"/>
          <w:szCs w:val="20"/>
          <w:lang w:eastAsia="es-CO"/>
        </w:rPr>
        <w:t xml:space="preserve"> Folio 11 </w:t>
      </w:r>
      <w:proofErr w:type="spellStart"/>
      <w:r w:rsidRPr="00FD3458">
        <w:rPr>
          <w:rFonts w:ascii="Segoe UI" w:eastAsia="Times New Roman" w:hAnsi="Segoe UI" w:cs="Segoe UI"/>
          <w:color w:val="000000"/>
          <w:sz w:val="20"/>
          <w:szCs w:val="20"/>
          <w:lang w:eastAsia="es-CO"/>
        </w:rPr>
        <w:t>c.p.</w:t>
      </w:r>
      <w:proofErr w:type="spellEnd"/>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43" w:name="_ftn4"/>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"_ftnref4"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[4]</w:t>
      </w:r>
      <w:r w:rsidRPr="00FD3458">
        <w:rPr>
          <w:rFonts w:ascii="Arial" w:eastAsia="Times New Roman" w:hAnsi="Arial" w:cs="Arial"/>
          <w:color w:val="000000"/>
          <w:sz w:val="18"/>
          <w:szCs w:val="18"/>
          <w:lang w:eastAsia="es-CO"/>
        </w:rPr>
        <w:fldChar w:fldCharType="end"/>
      </w:r>
      <w:bookmarkEnd w:id="43"/>
      <w:r w:rsidRPr="00FD3458">
        <w:rPr>
          <w:rFonts w:ascii="Segoe UI" w:eastAsia="Times New Roman" w:hAnsi="Segoe UI" w:cs="Segoe UI"/>
          <w:color w:val="000000"/>
          <w:sz w:val="20"/>
          <w:szCs w:val="20"/>
          <w:lang w:eastAsia="es-CO"/>
        </w:rPr>
        <w:t> Sobre la declaración tributaria como prueba documental, transcribió apartes del concepto de la DIAN nro. 0003025657 de 22 de marzo de 2000.</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44" w:name="_ftn5"/>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"_ftnref5"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[5]</w:t>
      </w:r>
      <w:r w:rsidRPr="00FD3458">
        <w:rPr>
          <w:rFonts w:ascii="Arial" w:eastAsia="Times New Roman" w:hAnsi="Arial" w:cs="Arial"/>
          <w:color w:val="000000"/>
          <w:sz w:val="18"/>
          <w:szCs w:val="18"/>
          <w:lang w:eastAsia="es-CO"/>
        </w:rPr>
        <w:fldChar w:fldCharType="end"/>
      </w:r>
      <w:bookmarkEnd w:id="44"/>
      <w:r w:rsidRPr="00FD3458">
        <w:rPr>
          <w:rFonts w:ascii="Segoe UI" w:eastAsia="Times New Roman" w:hAnsi="Segoe UI" w:cs="Segoe UI"/>
          <w:color w:val="000000"/>
          <w:sz w:val="20"/>
          <w:szCs w:val="20"/>
          <w:lang w:eastAsia="es-CO"/>
        </w:rPr>
        <w:t> Sobre el RUT como único mecanismo de identificación y ubicación de los sujetos que deben cumplir obligaciones ante la DIAN, transcribió apartes del concepto de esa misma entidad, nro. 0511082229 de 8 de noviembre de 2005.</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45" w:name="_ftn6"/>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"_ftnref6"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[6]</w:t>
      </w:r>
      <w:r w:rsidRPr="00FD3458">
        <w:rPr>
          <w:rFonts w:ascii="Arial" w:eastAsia="Times New Roman" w:hAnsi="Arial" w:cs="Arial"/>
          <w:color w:val="000000"/>
          <w:sz w:val="18"/>
          <w:szCs w:val="18"/>
          <w:lang w:eastAsia="es-CO"/>
        </w:rPr>
        <w:fldChar w:fldCharType="end"/>
      </w:r>
      <w:bookmarkEnd w:id="45"/>
      <w:r w:rsidRPr="00FD3458">
        <w:rPr>
          <w:rFonts w:ascii="Segoe UI" w:eastAsia="Times New Roman" w:hAnsi="Segoe UI" w:cs="Segoe UI"/>
          <w:color w:val="000000"/>
          <w:sz w:val="20"/>
          <w:szCs w:val="20"/>
          <w:lang w:eastAsia="es-CO"/>
        </w:rPr>
        <w:t xml:space="preserve"> Folio 8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1</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46" w:name="_ftn7"/>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"_ftnref7"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[7]</w:t>
      </w:r>
      <w:r w:rsidRPr="00FD3458">
        <w:rPr>
          <w:rFonts w:ascii="Arial" w:eastAsia="Times New Roman" w:hAnsi="Arial" w:cs="Arial"/>
          <w:color w:val="000000"/>
          <w:sz w:val="18"/>
          <w:szCs w:val="18"/>
          <w:lang w:eastAsia="es-CO"/>
        </w:rPr>
        <w:fldChar w:fldCharType="end"/>
      </w:r>
      <w:bookmarkEnd w:id="46"/>
      <w:r w:rsidRPr="00FD3458">
        <w:rPr>
          <w:rFonts w:ascii="Segoe UI" w:eastAsia="Times New Roman" w:hAnsi="Segoe UI" w:cs="Segoe UI"/>
          <w:color w:val="000000"/>
          <w:sz w:val="20"/>
          <w:szCs w:val="20"/>
          <w:lang w:eastAsia="es-CO"/>
        </w:rPr>
        <w:t xml:space="preserve"> Folio 312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2.</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47" w:name="_ftn8"/>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"_ftnref8"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[8]</w:t>
      </w:r>
      <w:r w:rsidRPr="00FD3458">
        <w:rPr>
          <w:rFonts w:ascii="Arial" w:eastAsia="Times New Roman" w:hAnsi="Arial" w:cs="Arial"/>
          <w:color w:val="000000"/>
          <w:sz w:val="18"/>
          <w:szCs w:val="18"/>
          <w:lang w:eastAsia="es-CO"/>
        </w:rPr>
        <w:fldChar w:fldCharType="end"/>
      </w:r>
      <w:bookmarkEnd w:id="47"/>
      <w:r w:rsidRPr="00FD3458">
        <w:rPr>
          <w:rFonts w:ascii="Segoe UI" w:eastAsia="Times New Roman" w:hAnsi="Segoe UI" w:cs="Segoe UI"/>
          <w:color w:val="000000"/>
          <w:sz w:val="20"/>
          <w:szCs w:val="20"/>
          <w:lang w:eastAsia="es-CO"/>
        </w:rPr>
        <w:t xml:space="preserve"> Así lo expuso el contribuyente en la respuesta al requerimiento especial. Folio 292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2.</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48" w:name="_ftn9"/>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"_ftnref9"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[9]</w:t>
      </w:r>
      <w:r w:rsidRPr="00FD3458">
        <w:rPr>
          <w:rFonts w:ascii="Arial" w:eastAsia="Times New Roman" w:hAnsi="Arial" w:cs="Arial"/>
          <w:color w:val="000000"/>
          <w:sz w:val="18"/>
          <w:szCs w:val="18"/>
          <w:lang w:eastAsia="es-CO"/>
        </w:rPr>
        <w:fldChar w:fldCharType="end"/>
      </w:r>
      <w:bookmarkEnd w:id="48"/>
      <w:r w:rsidRPr="00FD3458">
        <w:rPr>
          <w:rFonts w:ascii="Segoe UI" w:eastAsia="Times New Roman" w:hAnsi="Segoe UI" w:cs="Segoe UI"/>
          <w:color w:val="000000"/>
          <w:sz w:val="20"/>
          <w:szCs w:val="20"/>
          <w:lang w:eastAsia="es-CO"/>
        </w:rPr>
        <w:t> La Sala, en la sentencia de 19 de marzo de 2015, radicado nro. 0500123331000-2007-02606-01 (20548) C.P. Martha Teresa Briceño de Valencia, precisó </w:t>
      </w:r>
      <w:r w:rsidRPr="00FD3458">
        <w:rPr>
          <w:rFonts w:ascii="Segoe UI" w:eastAsia="Times New Roman" w:hAnsi="Segoe UI" w:cs="Segoe UI"/>
          <w:i/>
          <w:iCs/>
          <w:color w:val="000000"/>
          <w:sz w:val="20"/>
          <w:szCs w:val="20"/>
          <w:lang w:eastAsia="es-CO"/>
        </w:rPr>
        <w:t>“que el deber de informar a la DIAN acerca de la existencia de la última declaración de corrección se refiere solo a las correcciones que se presentan en bancos, pues es posible que la DIAN no tenga conocimiento de estas, precisamente, porque no se presentan ante dicha entidad”.</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0"/>
          <w:szCs w:val="20"/>
          <w:lang w:eastAsia="es-CO"/>
        </w:rPr>
        <w:t> </w:t>
      </w:r>
    </w:p>
    <w:bookmarkStart w:id="49" w:name="_ftn10"/>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"_ftnref10"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[10]</w:t>
      </w:r>
      <w:r w:rsidRPr="00FD3458">
        <w:rPr>
          <w:rFonts w:ascii="Arial" w:eastAsia="Times New Roman" w:hAnsi="Arial" w:cs="Arial"/>
          <w:color w:val="000000"/>
          <w:sz w:val="18"/>
          <w:szCs w:val="18"/>
          <w:lang w:eastAsia="es-CO"/>
        </w:rPr>
        <w:fldChar w:fldCharType="end"/>
      </w:r>
      <w:bookmarkEnd w:id="49"/>
      <w:r w:rsidRPr="00FD3458">
        <w:rPr>
          <w:rFonts w:ascii="Segoe UI" w:eastAsia="Times New Roman" w:hAnsi="Segoe UI" w:cs="Segoe UI"/>
          <w:color w:val="000000"/>
          <w:sz w:val="20"/>
          <w:szCs w:val="20"/>
          <w:lang w:eastAsia="es-CO"/>
        </w:rPr>
        <w:t xml:space="preserve"> Folios 284 a 305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2.</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50" w:name="_ftn11"/>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"_ftnref11"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[11]</w:t>
      </w:r>
      <w:r w:rsidRPr="00FD3458">
        <w:rPr>
          <w:rFonts w:ascii="Arial" w:eastAsia="Times New Roman" w:hAnsi="Arial" w:cs="Arial"/>
          <w:color w:val="000000"/>
          <w:sz w:val="18"/>
          <w:szCs w:val="18"/>
          <w:lang w:eastAsia="es-CO"/>
        </w:rPr>
        <w:fldChar w:fldCharType="end"/>
      </w:r>
      <w:bookmarkEnd w:id="50"/>
      <w:r w:rsidRPr="00FD3458">
        <w:rPr>
          <w:rFonts w:ascii="Segoe UI" w:eastAsia="Times New Roman" w:hAnsi="Segoe UI" w:cs="Segoe UI"/>
          <w:color w:val="000000"/>
          <w:sz w:val="20"/>
          <w:szCs w:val="20"/>
          <w:lang w:eastAsia="es-CO"/>
        </w:rPr>
        <w:t> </w:t>
      </w:r>
      <w:r w:rsidRPr="00FD3458">
        <w:rPr>
          <w:rFonts w:ascii="Segoe UI" w:eastAsia="Times New Roman" w:hAnsi="Segoe UI" w:cs="Segoe UI"/>
          <w:i/>
          <w:iCs/>
          <w:color w:val="000000"/>
          <w:sz w:val="20"/>
          <w:szCs w:val="20"/>
          <w:lang w:eastAsia="es-CO"/>
        </w:rPr>
        <w:t>“La liquidación de revisión deberá contraerse exclusivamente a la declaración del contribuyente y a los hechos que hubieren sido contemplados en el requerimiento especial o en su ampliación si la hubiere”.</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0"/>
          <w:szCs w:val="20"/>
          <w:lang w:eastAsia="es-CO"/>
        </w:rPr>
        <w:t> </w:t>
      </w:r>
    </w:p>
    <w:bookmarkStart w:id="51" w:name="_ftn12"/>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"_ftnref12"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[12]</w:t>
      </w:r>
      <w:r w:rsidRPr="00FD3458">
        <w:rPr>
          <w:rFonts w:ascii="Arial" w:eastAsia="Times New Roman" w:hAnsi="Arial" w:cs="Arial"/>
          <w:color w:val="000000"/>
          <w:sz w:val="18"/>
          <w:szCs w:val="18"/>
          <w:lang w:eastAsia="es-CO"/>
        </w:rPr>
        <w:fldChar w:fldCharType="end"/>
      </w:r>
      <w:bookmarkEnd w:id="51"/>
      <w:r w:rsidRPr="00FD3458">
        <w:rPr>
          <w:rFonts w:ascii="Segoe UI" w:eastAsia="Times New Roman" w:hAnsi="Segoe UI" w:cs="Segoe UI"/>
          <w:color w:val="000000"/>
          <w:sz w:val="20"/>
          <w:szCs w:val="20"/>
          <w:lang w:eastAsia="es-CO"/>
        </w:rPr>
        <w:t> </w:t>
      </w:r>
      <w:r w:rsidRPr="00FD3458">
        <w:rPr>
          <w:rFonts w:ascii="Segoe UI" w:eastAsia="Times New Roman" w:hAnsi="Segoe UI" w:cs="Segoe UI"/>
          <w:i/>
          <w:iCs/>
          <w:color w:val="000000"/>
          <w:sz w:val="20"/>
          <w:szCs w:val="20"/>
          <w:lang w:eastAsia="es-CO"/>
        </w:rPr>
        <w:t>“Antes de efectuar la liquidación de revisión, la Administración enviará al contribuyente, responsable, agente retenedor o declarante, por una sola vez, un requerimiento especial que </w:t>
      </w:r>
      <w:r w:rsidRPr="00FD3458">
        <w:rPr>
          <w:rFonts w:ascii="Segoe UI" w:eastAsia="Times New Roman" w:hAnsi="Segoe UI" w:cs="Segoe UI"/>
          <w:i/>
          <w:iCs/>
          <w:color w:val="000000"/>
          <w:sz w:val="20"/>
          <w:szCs w:val="20"/>
          <w:u w:val="single"/>
          <w:lang w:eastAsia="es-CO"/>
        </w:rPr>
        <w:t>contenga todos los puntos que se proponga modificar</w:t>
      </w:r>
      <w:r w:rsidRPr="00FD3458">
        <w:rPr>
          <w:rFonts w:ascii="Segoe UI" w:eastAsia="Times New Roman" w:hAnsi="Segoe UI" w:cs="Segoe UI"/>
          <w:i/>
          <w:iCs/>
          <w:color w:val="000000"/>
          <w:sz w:val="20"/>
          <w:szCs w:val="20"/>
          <w:lang w:eastAsia="es-CO"/>
        </w:rPr>
        <w:t>, con explicación de las razones en que se sustenta” </w:t>
      </w:r>
      <w:r w:rsidRPr="00FD3458">
        <w:rPr>
          <w:rFonts w:ascii="Segoe UI" w:eastAsia="Times New Roman" w:hAnsi="Segoe UI" w:cs="Segoe UI"/>
          <w:color w:val="000000"/>
          <w:sz w:val="20"/>
          <w:szCs w:val="20"/>
          <w:lang w:eastAsia="es-CO"/>
        </w:rPr>
        <w:t>(Subraya la Sala).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52" w:name="_ftn13"/>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lastRenderedPageBreak/>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"_ftnref13"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[13]</w:t>
      </w:r>
      <w:r w:rsidRPr="00FD3458">
        <w:rPr>
          <w:rFonts w:ascii="Arial" w:eastAsia="Times New Roman" w:hAnsi="Arial" w:cs="Arial"/>
          <w:color w:val="000000"/>
          <w:sz w:val="18"/>
          <w:szCs w:val="18"/>
          <w:lang w:eastAsia="es-CO"/>
        </w:rPr>
        <w:fldChar w:fldCharType="end"/>
      </w:r>
      <w:bookmarkEnd w:id="52"/>
      <w:r w:rsidRPr="00FD3458">
        <w:rPr>
          <w:rFonts w:ascii="Segoe UI" w:eastAsia="Times New Roman" w:hAnsi="Segoe UI" w:cs="Segoe UI"/>
          <w:color w:val="000000"/>
          <w:sz w:val="20"/>
          <w:szCs w:val="20"/>
          <w:lang w:eastAsia="es-CO"/>
        </w:rPr>
        <w:t> La liquidación de revisión, deberá contener la </w:t>
      </w:r>
      <w:r w:rsidRPr="00FD3458">
        <w:rPr>
          <w:rFonts w:ascii="Segoe UI" w:eastAsia="Times New Roman" w:hAnsi="Segoe UI" w:cs="Segoe UI"/>
          <w:i/>
          <w:iCs/>
          <w:color w:val="000000"/>
          <w:sz w:val="20"/>
          <w:szCs w:val="20"/>
          <w:lang w:eastAsia="es-CO"/>
        </w:rPr>
        <w:t>“[e]</w:t>
      </w:r>
      <w:proofErr w:type="spellStart"/>
      <w:r w:rsidRPr="00FD3458">
        <w:rPr>
          <w:rFonts w:ascii="Segoe UI" w:eastAsia="Times New Roman" w:hAnsi="Segoe UI" w:cs="Segoe UI"/>
          <w:i/>
          <w:iCs/>
          <w:color w:val="000000"/>
          <w:sz w:val="20"/>
          <w:szCs w:val="20"/>
          <w:lang w:eastAsia="es-CO"/>
        </w:rPr>
        <w:t>xplicación</w:t>
      </w:r>
      <w:proofErr w:type="spellEnd"/>
      <w:r w:rsidRPr="00FD3458">
        <w:rPr>
          <w:rFonts w:ascii="Segoe UI" w:eastAsia="Times New Roman" w:hAnsi="Segoe UI" w:cs="Segoe UI"/>
          <w:i/>
          <w:iCs/>
          <w:color w:val="000000"/>
          <w:sz w:val="20"/>
          <w:szCs w:val="20"/>
          <w:lang w:eastAsia="es-CO"/>
        </w:rPr>
        <w:t xml:space="preserve"> sumaria de las </w:t>
      </w:r>
      <w:r w:rsidRPr="00FD3458">
        <w:rPr>
          <w:rFonts w:ascii="Segoe UI" w:eastAsia="Times New Roman" w:hAnsi="Segoe UI" w:cs="Segoe UI"/>
          <w:i/>
          <w:iCs/>
          <w:color w:val="000000"/>
          <w:sz w:val="20"/>
          <w:szCs w:val="20"/>
          <w:u w:val="single"/>
          <w:lang w:eastAsia="es-CO"/>
        </w:rPr>
        <w:t>modificaciones efectuadas, en lo concerniente a la declaración</w:t>
      </w:r>
      <w:r w:rsidRPr="00FD3458">
        <w:rPr>
          <w:rFonts w:ascii="Segoe UI" w:eastAsia="Times New Roman" w:hAnsi="Segoe UI" w:cs="Segoe UI"/>
          <w:i/>
          <w:iCs/>
          <w:color w:val="000000"/>
          <w:sz w:val="20"/>
          <w:szCs w:val="20"/>
          <w:lang w:eastAsia="es-CO"/>
        </w:rPr>
        <w:t>” </w:t>
      </w:r>
      <w:r w:rsidRPr="00FD3458">
        <w:rPr>
          <w:rFonts w:ascii="Segoe UI" w:eastAsia="Times New Roman" w:hAnsi="Segoe UI" w:cs="Segoe UI"/>
          <w:color w:val="000000"/>
          <w:sz w:val="20"/>
          <w:szCs w:val="20"/>
          <w:lang w:eastAsia="es-CO"/>
        </w:rPr>
        <w:t>(Subraya la Sala).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0"/>
          <w:szCs w:val="20"/>
          <w:lang w:eastAsia="es-CO"/>
        </w:rPr>
        <w:t> </w:t>
      </w:r>
    </w:p>
    <w:bookmarkStart w:id="53" w:name="_ftn14"/>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"_ftnref14"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[14]</w:t>
      </w:r>
      <w:r w:rsidRPr="00FD3458">
        <w:rPr>
          <w:rFonts w:ascii="Arial" w:eastAsia="Times New Roman" w:hAnsi="Arial" w:cs="Arial"/>
          <w:color w:val="000000"/>
          <w:sz w:val="18"/>
          <w:szCs w:val="18"/>
          <w:lang w:eastAsia="es-CO"/>
        </w:rPr>
        <w:fldChar w:fldCharType="end"/>
      </w:r>
      <w:bookmarkEnd w:id="53"/>
      <w:r w:rsidRPr="00FD3458">
        <w:rPr>
          <w:rFonts w:ascii="Segoe UI" w:eastAsia="Times New Roman" w:hAnsi="Segoe UI" w:cs="Segoe UI"/>
          <w:color w:val="000000"/>
          <w:sz w:val="20"/>
          <w:szCs w:val="20"/>
          <w:lang w:eastAsia="es-CO"/>
        </w:rPr>
        <w:t> Aunque la declaración de corrección es anterior a la fecha de expedición del requerimiento especial, por metodología, se toma en cuenta este orden, porque como se expuso con anterioridad, la DIAN no tenía conocimiento de la existencia de la corrección, para cuando expidió el acto previo.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54" w:name="_ftn15"/>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"_ftnref15"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[15]</w:t>
      </w:r>
      <w:r w:rsidRPr="00FD3458">
        <w:rPr>
          <w:rFonts w:ascii="Arial" w:eastAsia="Times New Roman" w:hAnsi="Arial" w:cs="Arial"/>
          <w:color w:val="000000"/>
          <w:sz w:val="18"/>
          <w:szCs w:val="18"/>
          <w:lang w:eastAsia="es-CO"/>
        </w:rPr>
        <w:fldChar w:fldCharType="end"/>
      </w:r>
      <w:bookmarkEnd w:id="54"/>
      <w:r w:rsidRPr="00FD3458">
        <w:rPr>
          <w:rFonts w:ascii="Segoe UI" w:eastAsia="Times New Roman" w:hAnsi="Segoe UI" w:cs="Segoe UI"/>
          <w:color w:val="000000"/>
          <w:sz w:val="20"/>
          <w:szCs w:val="20"/>
          <w:lang w:eastAsia="es-CO"/>
        </w:rPr>
        <w:t xml:space="preserve"> Tanto en el requerimiento especial como en la liquidación oficial de revisión, la DIAN tomó la cifra de $725.748.979 como compras omitidas. La discriminación de esta suma aparece en los folios 63 a 64 del </w:t>
      </w:r>
      <w:proofErr w:type="spellStart"/>
      <w:r w:rsidRPr="00FD3458">
        <w:rPr>
          <w:rFonts w:ascii="Segoe UI" w:eastAsia="Times New Roman" w:hAnsi="Segoe UI" w:cs="Segoe UI"/>
          <w:color w:val="000000"/>
          <w:sz w:val="20"/>
          <w:szCs w:val="20"/>
          <w:lang w:eastAsia="es-CO"/>
        </w:rPr>
        <w:t>c.p.</w:t>
      </w:r>
      <w:proofErr w:type="spellEnd"/>
      <w:r w:rsidRPr="00FD3458">
        <w:rPr>
          <w:rFonts w:ascii="Segoe UI" w:eastAsia="Times New Roman" w:hAnsi="Segoe UI" w:cs="Segoe UI"/>
          <w:color w:val="000000"/>
          <w:sz w:val="20"/>
          <w:szCs w:val="20"/>
          <w:lang w:eastAsia="es-CO"/>
        </w:rPr>
        <w:t xml:space="preserve"> (anexo de la LOR). A los $725.748.979 se le aplicó el porcentaje de utilidad bruta de 95.002%, lo que arroja un total de $763.938.252, que sumados a los $98.630.395 de renta presuntiva por consignaciones bancarias y el ingreso declarado, arroja un total de $1.839.313.000.</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55" w:name="_ftn16"/>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"_ftnref16"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[16]</w:t>
      </w:r>
      <w:r w:rsidRPr="00FD3458">
        <w:rPr>
          <w:rFonts w:ascii="Arial" w:eastAsia="Times New Roman" w:hAnsi="Arial" w:cs="Arial"/>
          <w:color w:val="000000"/>
          <w:sz w:val="18"/>
          <w:szCs w:val="18"/>
          <w:lang w:eastAsia="es-CO"/>
        </w:rPr>
        <w:fldChar w:fldCharType="end"/>
      </w:r>
      <w:bookmarkEnd w:id="55"/>
      <w:r w:rsidRPr="00FD3458">
        <w:rPr>
          <w:rFonts w:ascii="Segoe UI" w:eastAsia="Times New Roman" w:hAnsi="Segoe UI" w:cs="Segoe UI"/>
          <w:color w:val="000000"/>
          <w:sz w:val="20"/>
          <w:szCs w:val="20"/>
          <w:lang w:eastAsia="es-CO"/>
        </w:rPr>
        <w:t xml:space="preserve"> En este sentido cfr. la sentencia de 8 de octubre de 2015, radicado nro. 050012331000-2002-04446-01 (19495), C.P. Jorge Octavio Ramírez </w:t>
      </w:r>
      <w:proofErr w:type="spellStart"/>
      <w:r w:rsidRPr="00FD3458">
        <w:rPr>
          <w:rFonts w:ascii="Segoe UI" w:eastAsia="Times New Roman" w:hAnsi="Segoe UI" w:cs="Segoe UI"/>
          <w:color w:val="000000"/>
          <w:sz w:val="20"/>
          <w:szCs w:val="20"/>
          <w:lang w:eastAsia="es-CO"/>
        </w:rPr>
        <w:t>Ramírez</w:t>
      </w:r>
      <w:proofErr w:type="spellEnd"/>
      <w:r w:rsidRPr="00FD3458">
        <w:rPr>
          <w:rFonts w:ascii="Segoe UI" w:eastAsia="Times New Roman" w:hAnsi="Segoe UI" w:cs="Segoe UI"/>
          <w:color w:val="000000"/>
          <w:sz w:val="20"/>
          <w:szCs w:val="20"/>
          <w:lang w:eastAsia="es-CO"/>
        </w:rPr>
        <w:t>. Reiterada en la sentencia de 19 de octubre de 2017, radicado nro. 410012331000-2008-00253-01 (19315), C.P. Stella Jeannette Carvajal Basto.</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56" w:name="_ftn17"/>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"_ftnref17"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[17]</w:t>
      </w:r>
      <w:r w:rsidRPr="00FD3458">
        <w:rPr>
          <w:rFonts w:ascii="Arial" w:eastAsia="Times New Roman" w:hAnsi="Arial" w:cs="Arial"/>
          <w:color w:val="000000"/>
          <w:sz w:val="18"/>
          <w:szCs w:val="18"/>
          <w:lang w:eastAsia="es-CO"/>
        </w:rPr>
        <w:fldChar w:fldCharType="end"/>
      </w:r>
      <w:bookmarkEnd w:id="56"/>
      <w:r w:rsidRPr="00FD3458">
        <w:rPr>
          <w:rFonts w:ascii="Segoe UI" w:eastAsia="Times New Roman" w:hAnsi="Segoe UI" w:cs="Segoe UI"/>
          <w:color w:val="000000"/>
          <w:sz w:val="20"/>
          <w:szCs w:val="20"/>
          <w:lang w:eastAsia="es-CO"/>
        </w:rPr>
        <w:t xml:space="preserve"> Folio 304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2.</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57" w:name="_ftn18"/>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"_ftnref18"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[18]</w:t>
      </w:r>
      <w:r w:rsidRPr="00FD3458">
        <w:rPr>
          <w:rFonts w:ascii="Arial" w:eastAsia="Times New Roman" w:hAnsi="Arial" w:cs="Arial"/>
          <w:color w:val="000000"/>
          <w:sz w:val="18"/>
          <w:szCs w:val="18"/>
          <w:lang w:eastAsia="es-CO"/>
        </w:rPr>
        <w:fldChar w:fldCharType="end"/>
      </w:r>
      <w:bookmarkEnd w:id="57"/>
      <w:r w:rsidRPr="00FD3458">
        <w:rPr>
          <w:rFonts w:ascii="Segoe UI" w:eastAsia="Times New Roman" w:hAnsi="Segoe UI" w:cs="Segoe UI"/>
          <w:color w:val="000000"/>
          <w:sz w:val="20"/>
          <w:szCs w:val="20"/>
          <w:lang w:eastAsia="es-CO"/>
        </w:rPr>
        <w:t xml:space="preserve"> Cfr. las páginas 12 y 13 de la LOR. Folios 37 y 38 del </w:t>
      </w:r>
      <w:proofErr w:type="spellStart"/>
      <w:r w:rsidRPr="00FD3458">
        <w:rPr>
          <w:rFonts w:ascii="Segoe UI" w:eastAsia="Times New Roman" w:hAnsi="Segoe UI" w:cs="Segoe UI"/>
          <w:color w:val="000000"/>
          <w:sz w:val="20"/>
          <w:szCs w:val="20"/>
          <w:lang w:eastAsia="es-CO"/>
        </w:rPr>
        <w:t>c.p.</w:t>
      </w:r>
      <w:proofErr w:type="spellEnd"/>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58" w:name="_ftn19"/>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"_ftnref19"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[19]</w:t>
      </w:r>
      <w:r w:rsidRPr="00FD3458">
        <w:rPr>
          <w:rFonts w:ascii="Arial" w:eastAsia="Times New Roman" w:hAnsi="Arial" w:cs="Arial"/>
          <w:color w:val="000000"/>
          <w:sz w:val="18"/>
          <w:szCs w:val="18"/>
          <w:lang w:eastAsia="es-CO"/>
        </w:rPr>
        <w:fldChar w:fldCharType="end"/>
      </w:r>
      <w:bookmarkEnd w:id="58"/>
      <w:r w:rsidRPr="00FD3458">
        <w:rPr>
          <w:rFonts w:ascii="Segoe UI" w:eastAsia="Times New Roman" w:hAnsi="Segoe UI" w:cs="Segoe UI"/>
          <w:color w:val="000000"/>
          <w:sz w:val="20"/>
          <w:szCs w:val="20"/>
          <w:lang w:eastAsia="es-CO"/>
        </w:rPr>
        <w:t> En esta acta quedó la siguiente constancia: “</w:t>
      </w:r>
      <w:r w:rsidRPr="00FD3458">
        <w:rPr>
          <w:rFonts w:ascii="Segoe UI" w:eastAsia="Times New Roman" w:hAnsi="Segoe UI" w:cs="Segoe UI"/>
          <w:i/>
          <w:iCs/>
          <w:color w:val="000000"/>
          <w:sz w:val="20"/>
          <w:szCs w:val="20"/>
          <w:lang w:eastAsia="es-CO"/>
        </w:rPr>
        <w:t>PREGUNTADO: SÍRVASE DECIR SEÑOR PEÑA DESDE CUANDO INICIÓ SU ACTIVIDAD. CONTESTADO: DESDE JUNIO DE 2004 Y ANTES NO REALIZABA NINGUNA OTRA ACTIVIDAD. DESDE ENERO HASTA JUNIO DE 2004, NI COMPRAS NI VENTAS DE MERCANCÍA</w:t>
      </w:r>
      <w:r w:rsidRPr="00FD3458">
        <w:rPr>
          <w:rFonts w:ascii="Segoe UI" w:eastAsia="Times New Roman" w:hAnsi="Segoe UI" w:cs="Segoe UI"/>
          <w:color w:val="000000"/>
          <w:sz w:val="20"/>
          <w:szCs w:val="20"/>
          <w:lang w:eastAsia="es-CO"/>
        </w:rPr>
        <w:t xml:space="preserve">”. Folio 91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1. Esto último contrasta con la información que se extrae de la factura nro. CRE3976 de 27 de abril de 2004, expedida por Promotora Internacional de Negocios S.A., en la que consta que el actor adquirió 2400 unidades de aguardiente líder de 375 CC, por un total de $6.900.000. Esta factura fue aceptada con la respuesta al requerimiento especial, porque corresponde a la primera relacionada en el cuadro anexo a este acto previo, como facturas expedidas a su </w:t>
      </w:r>
      <w:proofErr w:type="gramStart"/>
      <w:r w:rsidRPr="00FD3458">
        <w:rPr>
          <w:rFonts w:ascii="Segoe UI" w:eastAsia="Times New Roman" w:hAnsi="Segoe UI" w:cs="Segoe UI"/>
          <w:color w:val="000000"/>
          <w:sz w:val="20"/>
          <w:szCs w:val="20"/>
          <w:lang w:eastAsia="es-CO"/>
        </w:rPr>
        <w:t>nombre</w:t>
      </w:r>
      <w:proofErr w:type="gramEnd"/>
      <w:r w:rsidRPr="00FD3458">
        <w:rPr>
          <w:rFonts w:ascii="Segoe UI" w:eastAsia="Times New Roman" w:hAnsi="Segoe UI" w:cs="Segoe UI"/>
          <w:color w:val="000000"/>
          <w:sz w:val="20"/>
          <w:szCs w:val="20"/>
          <w:lang w:eastAsia="es-CO"/>
        </w:rPr>
        <w:t xml:space="preserve"> pero no registradas en la vigencia de 2004 (Folio 104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1).</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59" w:name="_ftn20"/>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"_ftnref20"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[20]</w:t>
      </w:r>
      <w:r w:rsidRPr="00FD3458">
        <w:rPr>
          <w:rFonts w:ascii="Arial" w:eastAsia="Times New Roman" w:hAnsi="Arial" w:cs="Arial"/>
          <w:color w:val="000000"/>
          <w:sz w:val="18"/>
          <w:szCs w:val="18"/>
          <w:lang w:eastAsia="es-CO"/>
        </w:rPr>
        <w:fldChar w:fldCharType="end"/>
      </w:r>
      <w:bookmarkEnd w:id="59"/>
      <w:r w:rsidRPr="00FD3458">
        <w:rPr>
          <w:rFonts w:ascii="Segoe UI" w:eastAsia="Times New Roman" w:hAnsi="Segoe UI" w:cs="Segoe UI"/>
          <w:color w:val="000000"/>
          <w:sz w:val="20"/>
          <w:szCs w:val="20"/>
          <w:lang w:eastAsia="es-CO"/>
        </w:rPr>
        <w:t xml:space="preserve"> Folio 93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1.</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60" w:name="_ftn21"/>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"_ftnref21"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[21]</w:t>
      </w:r>
      <w:r w:rsidRPr="00FD3458">
        <w:rPr>
          <w:rFonts w:ascii="Arial" w:eastAsia="Times New Roman" w:hAnsi="Arial" w:cs="Arial"/>
          <w:color w:val="000000"/>
          <w:sz w:val="18"/>
          <w:szCs w:val="18"/>
          <w:lang w:eastAsia="es-CO"/>
        </w:rPr>
        <w:fldChar w:fldCharType="end"/>
      </w:r>
      <w:bookmarkEnd w:id="60"/>
      <w:r w:rsidRPr="00FD3458">
        <w:rPr>
          <w:rFonts w:ascii="Segoe UI" w:eastAsia="Times New Roman" w:hAnsi="Segoe UI" w:cs="Segoe UI"/>
          <w:color w:val="000000"/>
          <w:sz w:val="20"/>
          <w:szCs w:val="20"/>
          <w:lang w:eastAsia="es-CO"/>
        </w:rPr>
        <w:t xml:space="preserve"> En el folio 2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1 se aportó copia del RUT – Establecimientos, en el que consta que el establecimiento de comercio se denomina Almacén Central, que el NIT es el 7300783-1, que corresponde con el del demandante, que la matrícula mercantil se realizó el 11 de mayo de 2004 y que la dirección es la carrera 10 # 9-37 de la ciudad de Chiquinquirá – Boyacá.</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61" w:name="_ftn22"/>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"_ftnref22"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[22]</w:t>
      </w:r>
      <w:r w:rsidRPr="00FD3458">
        <w:rPr>
          <w:rFonts w:ascii="Arial" w:eastAsia="Times New Roman" w:hAnsi="Arial" w:cs="Arial"/>
          <w:color w:val="000000"/>
          <w:sz w:val="18"/>
          <w:szCs w:val="18"/>
          <w:lang w:eastAsia="es-CO"/>
        </w:rPr>
        <w:fldChar w:fldCharType="end"/>
      </w:r>
      <w:bookmarkEnd w:id="61"/>
      <w:r w:rsidRPr="00FD3458">
        <w:rPr>
          <w:rFonts w:ascii="Segoe UI" w:eastAsia="Times New Roman" w:hAnsi="Segoe UI" w:cs="Segoe UI"/>
          <w:color w:val="000000"/>
          <w:sz w:val="20"/>
          <w:szCs w:val="20"/>
          <w:lang w:eastAsia="es-CO"/>
        </w:rPr>
        <w:t xml:space="preserve"> Un total de 15 facturas. Folio 187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2.</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62" w:name="_ftn23"/>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"_ftnref23"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[23]</w:t>
      </w:r>
      <w:r w:rsidRPr="00FD3458">
        <w:rPr>
          <w:rFonts w:ascii="Arial" w:eastAsia="Times New Roman" w:hAnsi="Arial" w:cs="Arial"/>
          <w:color w:val="000000"/>
          <w:sz w:val="18"/>
          <w:szCs w:val="18"/>
          <w:lang w:eastAsia="es-CO"/>
        </w:rPr>
        <w:fldChar w:fldCharType="end"/>
      </w:r>
      <w:bookmarkEnd w:id="62"/>
      <w:r w:rsidRPr="00FD3458">
        <w:rPr>
          <w:rFonts w:ascii="Segoe UI" w:eastAsia="Times New Roman" w:hAnsi="Segoe UI" w:cs="Segoe UI"/>
          <w:color w:val="000000"/>
          <w:sz w:val="20"/>
          <w:szCs w:val="20"/>
          <w:lang w:eastAsia="es-CO"/>
        </w:rPr>
        <w:t> En la relación aportada por Colombiana aparecen, además, las sumas de $6.057.686 (devolución) y $3.566.472 (descuento), que no fueron tenidas en cuenta por la DIAN en el cuadro visible en la página 15 de la LOR.</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63" w:name="_ftn24"/>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"_ftnref24"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[24]</w:t>
      </w:r>
      <w:r w:rsidRPr="00FD3458">
        <w:rPr>
          <w:rFonts w:ascii="Arial" w:eastAsia="Times New Roman" w:hAnsi="Arial" w:cs="Arial"/>
          <w:color w:val="000000"/>
          <w:sz w:val="18"/>
          <w:szCs w:val="18"/>
          <w:lang w:eastAsia="es-CO"/>
        </w:rPr>
        <w:fldChar w:fldCharType="end"/>
      </w:r>
      <w:bookmarkEnd w:id="63"/>
      <w:r w:rsidRPr="00FD3458">
        <w:rPr>
          <w:rFonts w:ascii="Segoe UI" w:eastAsia="Times New Roman" w:hAnsi="Segoe UI" w:cs="Segoe UI"/>
          <w:color w:val="000000"/>
          <w:sz w:val="20"/>
          <w:szCs w:val="20"/>
          <w:lang w:eastAsia="es-CO"/>
        </w:rPr>
        <w:t xml:space="preserve"> Folios 184 a 187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2.</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64" w:name="_ftn25"/>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"_ftnref25"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[25]</w:t>
      </w:r>
      <w:r w:rsidRPr="00FD3458">
        <w:rPr>
          <w:rFonts w:ascii="Arial" w:eastAsia="Times New Roman" w:hAnsi="Arial" w:cs="Arial"/>
          <w:color w:val="000000"/>
          <w:sz w:val="18"/>
          <w:szCs w:val="18"/>
          <w:lang w:eastAsia="es-CO"/>
        </w:rPr>
        <w:fldChar w:fldCharType="end"/>
      </w:r>
      <w:bookmarkEnd w:id="64"/>
      <w:r w:rsidRPr="00FD3458">
        <w:rPr>
          <w:rFonts w:ascii="Segoe UI" w:eastAsia="Times New Roman" w:hAnsi="Segoe UI" w:cs="Segoe UI"/>
          <w:color w:val="000000"/>
          <w:sz w:val="20"/>
          <w:szCs w:val="20"/>
          <w:lang w:eastAsia="es-CO"/>
        </w:rPr>
        <w:t> </w:t>
      </w:r>
      <w:r w:rsidRPr="00FD3458">
        <w:rPr>
          <w:rFonts w:ascii="Segoe UI" w:eastAsia="Times New Roman" w:hAnsi="Segoe UI" w:cs="Segoe UI"/>
          <w:i/>
          <w:iCs/>
          <w:color w:val="000000"/>
          <w:sz w:val="20"/>
          <w:szCs w:val="20"/>
          <w:lang w:eastAsia="es-CO"/>
        </w:rPr>
        <w:t>Ibídem.</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0"/>
          <w:szCs w:val="20"/>
          <w:lang w:eastAsia="es-CO"/>
        </w:rPr>
        <w:t> </w:t>
      </w:r>
    </w:p>
    <w:bookmarkStart w:id="65" w:name="_ftn26"/>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"_ftnref26"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[26]</w:t>
      </w:r>
      <w:r w:rsidRPr="00FD3458">
        <w:rPr>
          <w:rFonts w:ascii="Arial" w:eastAsia="Times New Roman" w:hAnsi="Arial" w:cs="Arial"/>
          <w:color w:val="000000"/>
          <w:sz w:val="18"/>
          <w:szCs w:val="18"/>
          <w:lang w:eastAsia="es-CO"/>
        </w:rPr>
        <w:fldChar w:fldCharType="end"/>
      </w:r>
      <w:bookmarkEnd w:id="65"/>
      <w:r w:rsidRPr="00FD3458">
        <w:rPr>
          <w:rFonts w:ascii="Segoe UI" w:eastAsia="Times New Roman" w:hAnsi="Segoe UI" w:cs="Segoe UI"/>
          <w:color w:val="000000"/>
          <w:sz w:val="20"/>
          <w:szCs w:val="20"/>
          <w:lang w:eastAsia="es-CO"/>
        </w:rPr>
        <w:t> En dicha acta consta que el establecimiento de comercio se denomina </w:t>
      </w:r>
      <w:r w:rsidRPr="00FD3458">
        <w:rPr>
          <w:rFonts w:ascii="Segoe UI" w:eastAsia="Times New Roman" w:hAnsi="Segoe UI" w:cs="Segoe UI"/>
          <w:i/>
          <w:iCs/>
          <w:color w:val="000000"/>
          <w:sz w:val="20"/>
          <w:szCs w:val="20"/>
          <w:lang w:eastAsia="es-CO"/>
        </w:rPr>
        <w:t>“MACROCENTRAL”, </w:t>
      </w:r>
      <w:r w:rsidRPr="00FD3458">
        <w:rPr>
          <w:rFonts w:ascii="Segoe UI" w:eastAsia="Times New Roman" w:hAnsi="Segoe UI" w:cs="Segoe UI"/>
          <w:color w:val="000000"/>
          <w:sz w:val="20"/>
          <w:szCs w:val="20"/>
          <w:lang w:eastAsia="es-CO"/>
        </w:rPr>
        <w:t xml:space="preserve">que está ubicado en la carrera 10 # 9-35 de la ciudad de Chiquinquirá, Boyacá, que el contribuyente es el señor José Pasión Peña Castro y que la actividad económica es la venta de víveres. Folio 6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1.</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66" w:name="_ftn27"/>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"_ftnref27"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[27]</w:t>
      </w:r>
      <w:r w:rsidRPr="00FD3458">
        <w:rPr>
          <w:rFonts w:ascii="Arial" w:eastAsia="Times New Roman" w:hAnsi="Arial" w:cs="Arial"/>
          <w:color w:val="000000"/>
          <w:sz w:val="18"/>
          <w:szCs w:val="18"/>
          <w:lang w:eastAsia="es-CO"/>
        </w:rPr>
        <w:fldChar w:fldCharType="end"/>
      </w:r>
      <w:bookmarkEnd w:id="66"/>
      <w:r w:rsidRPr="00FD3458">
        <w:rPr>
          <w:rFonts w:ascii="Segoe UI" w:eastAsia="Times New Roman" w:hAnsi="Segoe UI" w:cs="Segoe UI"/>
          <w:color w:val="000000"/>
          <w:sz w:val="20"/>
          <w:szCs w:val="20"/>
          <w:lang w:eastAsia="es-CO"/>
        </w:rPr>
        <w:t xml:space="preserve"> Conforme con la copia del RUT – Establecimientos-. Folio 2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1.</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67" w:name="_ftn28"/>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"_ftnref28"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[28]</w:t>
      </w:r>
      <w:r w:rsidRPr="00FD3458">
        <w:rPr>
          <w:rFonts w:ascii="Arial" w:eastAsia="Times New Roman" w:hAnsi="Arial" w:cs="Arial"/>
          <w:color w:val="000000"/>
          <w:sz w:val="18"/>
          <w:szCs w:val="18"/>
          <w:lang w:eastAsia="es-CO"/>
        </w:rPr>
        <w:fldChar w:fldCharType="end"/>
      </w:r>
      <w:bookmarkEnd w:id="67"/>
      <w:r w:rsidRPr="00FD3458">
        <w:rPr>
          <w:rFonts w:ascii="Segoe UI" w:eastAsia="Times New Roman" w:hAnsi="Segoe UI" w:cs="Segoe UI"/>
          <w:color w:val="000000"/>
          <w:sz w:val="20"/>
          <w:szCs w:val="20"/>
          <w:lang w:eastAsia="es-CO"/>
        </w:rPr>
        <w:t xml:space="preserve"> Página 13 de la LOR. Folio 38 del </w:t>
      </w:r>
      <w:proofErr w:type="spellStart"/>
      <w:r w:rsidRPr="00FD3458">
        <w:rPr>
          <w:rFonts w:ascii="Segoe UI" w:eastAsia="Times New Roman" w:hAnsi="Segoe UI" w:cs="Segoe UI"/>
          <w:color w:val="000000"/>
          <w:sz w:val="20"/>
          <w:szCs w:val="20"/>
          <w:lang w:eastAsia="es-CO"/>
        </w:rPr>
        <w:t>c.p.</w:t>
      </w:r>
      <w:proofErr w:type="spellEnd"/>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68" w:name="_ftn29"/>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"_ftnref29"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[29]</w:t>
      </w:r>
      <w:r w:rsidRPr="00FD3458">
        <w:rPr>
          <w:rFonts w:ascii="Arial" w:eastAsia="Times New Roman" w:hAnsi="Arial" w:cs="Arial"/>
          <w:color w:val="000000"/>
          <w:sz w:val="18"/>
          <w:szCs w:val="18"/>
          <w:lang w:eastAsia="es-CO"/>
        </w:rPr>
        <w:fldChar w:fldCharType="end"/>
      </w:r>
      <w:bookmarkEnd w:id="68"/>
      <w:r w:rsidRPr="00FD3458">
        <w:rPr>
          <w:rFonts w:ascii="Segoe UI" w:eastAsia="Times New Roman" w:hAnsi="Segoe UI" w:cs="Segoe UI"/>
          <w:color w:val="000000"/>
          <w:sz w:val="20"/>
          <w:szCs w:val="20"/>
          <w:lang w:eastAsia="es-CO"/>
        </w:rPr>
        <w:t xml:space="preserve"> Folios 242 a 243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2.</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69" w:name="_ftn30"/>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lastRenderedPageBreak/>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"_ftnref30"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[30]</w:t>
      </w:r>
      <w:r w:rsidRPr="00FD3458">
        <w:rPr>
          <w:rFonts w:ascii="Arial" w:eastAsia="Times New Roman" w:hAnsi="Arial" w:cs="Arial"/>
          <w:color w:val="000000"/>
          <w:sz w:val="18"/>
          <w:szCs w:val="18"/>
          <w:lang w:eastAsia="es-CO"/>
        </w:rPr>
        <w:fldChar w:fldCharType="end"/>
      </w:r>
      <w:bookmarkEnd w:id="69"/>
      <w:r w:rsidRPr="00FD3458">
        <w:rPr>
          <w:rFonts w:ascii="Segoe UI" w:eastAsia="Times New Roman" w:hAnsi="Segoe UI" w:cs="Segoe UI"/>
          <w:color w:val="000000"/>
          <w:sz w:val="20"/>
          <w:szCs w:val="20"/>
          <w:lang w:eastAsia="es-CO"/>
        </w:rPr>
        <w:t> Al analizar las copras realizadas a nombre de la señor (sic) Ninfa Rocha. Páginas 12 y 13 de la LOR.</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70" w:name="_ftn31"/>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"_ftnref31"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[31]</w:t>
      </w:r>
      <w:r w:rsidRPr="00FD3458">
        <w:rPr>
          <w:rFonts w:ascii="Arial" w:eastAsia="Times New Roman" w:hAnsi="Arial" w:cs="Arial"/>
          <w:color w:val="000000"/>
          <w:sz w:val="18"/>
          <w:szCs w:val="18"/>
          <w:lang w:eastAsia="es-CO"/>
        </w:rPr>
        <w:fldChar w:fldCharType="end"/>
      </w:r>
      <w:bookmarkEnd w:id="70"/>
      <w:r w:rsidRPr="00FD3458">
        <w:rPr>
          <w:rFonts w:ascii="Segoe UI" w:eastAsia="Times New Roman" w:hAnsi="Segoe UI" w:cs="Segoe UI"/>
          <w:color w:val="000000"/>
          <w:sz w:val="20"/>
          <w:szCs w:val="20"/>
          <w:lang w:eastAsia="es-CO"/>
        </w:rPr>
        <w:t xml:space="preserve"> Está probado que el demandante giró los cheques </w:t>
      </w:r>
      <w:proofErr w:type="spellStart"/>
      <w:r w:rsidRPr="00FD3458">
        <w:rPr>
          <w:rFonts w:ascii="Segoe UI" w:eastAsia="Times New Roman" w:hAnsi="Segoe UI" w:cs="Segoe UI"/>
          <w:color w:val="000000"/>
          <w:sz w:val="20"/>
          <w:szCs w:val="20"/>
          <w:lang w:eastAsia="es-CO"/>
        </w:rPr>
        <w:t>nros</w:t>
      </w:r>
      <w:proofErr w:type="spellEnd"/>
      <w:r w:rsidRPr="00FD3458">
        <w:rPr>
          <w:rFonts w:ascii="Segoe UI" w:eastAsia="Times New Roman" w:hAnsi="Segoe UI" w:cs="Segoe UI"/>
          <w:color w:val="000000"/>
          <w:sz w:val="20"/>
          <w:szCs w:val="20"/>
          <w:lang w:eastAsia="es-CO"/>
        </w:rPr>
        <w:t xml:space="preserve">. 3 de 27 de febrero de 2004 y 5 de 5 de marzo de 2004 (folio 79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1), para pagar las facturas </w:t>
      </w:r>
      <w:proofErr w:type="spellStart"/>
      <w:r w:rsidRPr="00FD3458">
        <w:rPr>
          <w:rFonts w:ascii="Segoe UI" w:eastAsia="Times New Roman" w:hAnsi="Segoe UI" w:cs="Segoe UI"/>
          <w:color w:val="000000"/>
          <w:sz w:val="20"/>
          <w:szCs w:val="20"/>
          <w:lang w:eastAsia="es-CO"/>
        </w:rPr>
        <w:t>nros</w:t>
      </w:r>
      <w:proofErr w:type="spellEnd"/>
      <w:r w:rsidRPr="00FD3458">
        <w:rPr>
          <w:rFonts w:ascii="Segoe UI" w:eastAsia="Times New Roman" w:hAnsi="Segoe UI" w:cs="Segoe UI"/>
          <w:color w:val="000000"/>
          <w:sz w:val="20"/>
          <w:szCs w:val="20"/>
          <w:lang w:eastAsia="es-CO"/>
        </w:rPr>
        <w:t xml:space="preserve">. 1050461 y 1052361, expedidas por Harinera del Valle S.A., a nombre de José Benítez (folio 242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2). También está probado que el actor realizó una transferencia bancaria para pagar la factura nro. 1063634, emitida por la misma proveedora al señor José Benítez el 16 de abril de 2004 (folio 80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1). Los fondos de estos pagos provinieron de la cuenta corriente nro. 0013-05-12-33-0100011727 a nombre de </w:t>
      </w:r>
      <w:proofErr w:type="spellStart"/>
      <w:r w:rsidRPr="00FD3458">
        <w:rPr>
          <w:rFonts w:ascii="Segoe UI" w:eastAsia="Times New Roman" w:hAnsi="Segoe UI" w:cs="Segoe UI"/>
          <w:color w:val="000000"/>
          <w:sz w:val="20"/>
          <w:szCs w:val="20"/>
          <w:lang w:eastAsia="es-CO"/>
        </w:rPr>
        <w:t>Jefer</w:t>
      </w:r>
      <w:proofErr w:type="spellEnd"/>
      <w:r w:rsidRPr="00FD3458">
        <w:rPr>
          <w:rFonts w:ascii="Segoe UI" w:eastAsia="Times New Roman" w:hAnsi="Segoe UI" w:cs="Segoe UI"/>
          <w:color w:val="000000"/>
          <w:sz w:val="20"/>
          <w:szCs w:val="20"/>
          <w:lang w:eastAsia="es-CO"/>
        </w:rPr>
        <w:t xml:space="preserve"> Mauricio Villalobos. Cuenta en la que, según estableció la DIAN en sede administrativa, el demandante manejaba recursos propios y tenía firma registrada, lo que condujo a que se le determinara renta presuntiva por consignaciones en cuentas bancarias y de ahorro, glosa que no se discutió en sede jurisdiccional.</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71" w:name="_ftn32"/>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"_ftnref32"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[32]</w:t>
      </w:r>
      <w:r w:rsidRPr="00FD3458">
        <w:rPr>
          <w:rFonts w:ascii="Arial" w:eastAsia="Times New Roman" w:hAnsi="Arial" w:cs="Arial"/>
          <w:color w:val="000000"/>
          <w:sz w:val="18"/>
          <w:szCs w:val="18"/>
          <w:lang w:eastAsia="es-CO"/>
        </w:rPr>
        <w:fldChar w:fldCharType="end"/>
      </w:r>
      <w:bookmarkEnd w:id="71"/>
      <w:r w:rsidRPr="00FD3458">
        <w:rPr>
          <w:rFonts w:ascii="Segoe UI" w:eastAsia="Times New Roman" w:hAnsi="Segoe UI" w:cs="Segoe UI"/>
          <w:color w:val="000000"/>
          <w:sz w:val="20"/>
          <w:szCs w:val="20"/>
          <w:lang w:eastAsia="es-CO"/>
        </w:rPr>
        <w:t xml:space="preserve"> Folio 38 del </w:t>
      </w:r>
      <w:proofErr w:type="spellStart"/>
      <w:r w:rsidRPr="00FD3458">
        <w:rPr>
          <w:rFonts w:ascii="Segoe UI" w:eastAsia="Times New Roman" w:hAnsi="Segoe UI" w:cs="Segoe UI"/>
          <w:color w:val="000000"/>
          <w:sz w:val="20"/>
          <w:szCs w:val="20"/>
          <w:lang w:eastAsia="es-CO"/>
        </w:rPr>
        <w:t>c.p.</w:t>
      </w:r>
      <w:proofErr w:type="spellEnd"/>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72" w:name="_ftn33"/>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"_ftnref33"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[33]</w:t>
      </w:r>
      <w:r w:rsidRPr="00FD3458">
        <w:rPr>
          <w:rFonts w:ascii="Arial" w:eastAsia="Times New Roman" w:hAnsi="Arial" w:cs="Arial"/>
          <w:color w:val="000000"/>
          <w:sz w:val="18"/>
          <w:szCs w:val="18"/>
          <w:lang w:eastAsia="es-CO"/>
        </w:rPr>
        <w:fldChar w:fldCharType="end"/>
      </w:r>
      <w:bookmarkEnd w:id="72"/>
      <w:r w:rsidRPr="00FD3458">
        <w:rPr>
          <w:rFonts w:ascii="Segoe UI" w:eastAsia="Times New Roman" w:hAnsi="Segoe UI" w:cs="Segoe UI"/>
          <w:color w:val="000000"/>
          <w:sz w:val="20"/>
          <w:szCs w:val="20"/>
          <w:lang w:eastAsia="es-CO"/>
        </w:rPr>
        <w:t xml:space="preserve"> Folios 214 a 217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2.</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73" w:name="_ftn34"/>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"_ftnref34"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[34]</w:t>
      </w:r>
      <w:r w:rsidRPr="00FD3458">
        <w:rPr>
          <w:rFonts w:ascii="Arial" w:eastAsia="Times New Roman" w:hAnsi="Arial" w:cs="Arial"/>
          <w:color w:val="000000"/>
          <w:sz w:val="18"/>
          <w:szCs w:val="18"/>
          <w:lang w:eastAsia="es-CO"/>
        </w:rPr>
        <w:fldChar w:fldCharType="end"/>
      </w:r>
      <w:bookmarkEnd w:id="73"/>
      <w:r w:rsidRPr="00FD3458">
        <w:rPr>
          <w:rFonts w:ascii="Segoe UI" w:eastAsia="Times New Roman" w:hAnsi="Segoe UI" w:cs="Segoe UI"/>
          <w:color w:val="000000"/>
          <w:sz w:val="20"/>
          <w:szCs w:val="20"/>
          <w:lang w:eastAsia="es-CO"/>
        </w:rPr>
        <w:t xml:space="preserve"> En la relación aportada en los folios 214 a 216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2, aparece que los pagos a este proveedor se hicieron en efectivo y mediante cheques de las entidades bancarias BBVA, “BOGOTÁ” y de “COLOMBIA”.</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74" w:name="_ftn35"/>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"_ftnref35"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[35]</w:t>
      </w:r>
      <w:r w:rsidRPr="00FD3458">
        <w:rPr>
          <w:rFonts w:ascii="Arial" w:eastAsia="Times New Roman" w:hAnsi="Arial" w:cs="Arial"/>
          <w:color w:val="000000"/>
          <w:sz w:val="18"/>
          <w:szCs w:val="18"/>
          <w:lang w:eastAsia="es-CO"/>
        </w:rPr>
        <w:fldChar w:fldCharType="end"/>
      </w:r>
      <w:bookmarkEnd w:id="74"/>
      <w:r w:rsidRPr="00FD3458">
        <w:rPr>
          <w:rFonts w:ascii="Segoe UI" w:eastAsia="Times New Roman" w:hAnsi="Segoe UI" w:cs="Segoe UI"/>
          <w:color w:val="000000"/>
          <w:sz w:val="20"/>
          <w:szCs w:val="20"/>
          <w:lang w:eastAsia="es-CO"/>
        </w:rPr>
        <w:t xml:space="preserve"> En relación con esta entidad financiera, aparecen relacionados los cheques </w:t>
      </w:r>
      <w:proofErr w:type="spellStart"/>
      <w:r w:rsidRPr="00FD3458">
        <w:rPr>
          <w:rFonts w:ascii="Segoe UI" w:eastAsia="Times New Roman" w:hAnsi="Segoe UI" w:cs="Segoe UI"/>
          <w:color w:val="000000"/>
          <w:sz w:val="20"/>
          <w:szCs w:val="20"/>
          <w:lang w:eastAsia="es-CO"/>
        </w:rPr>
        <w:t>nros</w:t>
      </w:r>
      <w:proofErr w:type="spellEnd"/>
      <w:r w:rsidRPr="00FD3458">
        <w:rPr>
          <w:rFonts w:ascii="Segoe UI" w:eastAsia="Times New Roman" w:hAnsi="Segoe UI" w:cs="Segoe UI"/>
          <w:color w:val="000000"/>
          <w:sz w:val="20"/>
          <w:szCs w:val="20"/>
          <w:lang w:eastAsia="es-CO"/>
        </w:rPr>
        <w:t xml:space="preserve">. 31, 33, 34, 35, 36, 213 y 243, que no aparecen en la relación aportada por la misma entidad, en relación con la cuenta corriente nro. 0013-05-12-33-0100011727. Folio 73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1.</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75" w:name="_ftn36"/>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"_ftnref36"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[36]</w:t>
      </w:r>
      <w:r w:rsidRPr="00FD3458">
        <w:rPr>
          <w:rFonts w:ascii="Arial" w:eastAsia="Times New Roman" w:hAnsi="Arial" w:cs="Arial"/>
          <w:color w:val="000000"/>
          <w:sz w:val="18"/>
          <w:szCs w:val="18"/>
          <w:lang w:eastAsia="es-CO"/>
        </w:rPr>
        <w:fldChar w:fldCharType="end"/>
      </w:r>
      <w:bookmarkEnd w:id="75"/>
      <w:r w:rsidRPr="00FD3458">
        <w:rPr>
          <w:rFonts w:ascii="Segoe UI" w:eastAsia="Times New Roman" w:hAnsi="Segoe UI" w:cs="Segoe UI"/>
          <w:color w:val="000000"/>
          <w:sz w:val="20"/>
          <w:szCs w:val="20"/>
          <w:lang w:eastAsia="es-CO"/>
        </w:rPr>
        <w:t xml:space="preserve"> Folios 73 y 78 del </w:t>
      </w:r>
      <w:proofErr w:type="spellStart"/>
      <w:r w:rsidRPr="00FD3458">
        <w:rPr>
          <w:rFonts w:ascii="Segoe UI" w:eastAsia="Times New Roman" w:hAnsi="Segoe UI" w:cs="Segoe UI"/>
          <w:color w:val="000000"/>
          <w:sz w:val="20"/>
          <w:szCs w:val="20"/>
          <w:lang w:eastAsia="es-CO"/>
        </w:rPr>
        <w:t>c.a.</w:t>
      </w:r>
      <w:proofErr w:type="spellEnd"/>
      <w:r w:rsidRPr="00FD3458">
        <w:rPr>
          <w:rFonts w:ascii="Segoe UI" w:eastAsia="Times New Roman" w:hAnsi="Segoe UI" w:cs="Segoe UI"/>
          <w:color w:val="000000"/>
          <w:sz w:val="20"/>
          <w:szCs w:val="20"/>
          <w:lang w:eastAsia="es-CO"/>
        </w:rPr>
        <w:t xml:space="preserve"> nro. 1.</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76" w:name="_ftn37"/>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"_ftnref37"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[37]</w:t>
      </w:r>
      <w:r w:rsidRPr="00FD3458">
        <w:rPr>
          <w:rFonts w:ascii="Arial" w:eastAsia="Times New Roman" w:hAnsi="Arial" w:cs="Arial"/>
          <w:color w:val="000000"/>
          <w:sz w:val="18"/>
          <w:szCs w:val="18"/>
          <w:lang w:eastAsia="es-CO"/>
        </w:rPr>
        <w:fldChar w:fldCharType="end"/>
      </w:r>
      <w:bookmarkEnd w:id="76"/>
      <w:r w:rsidRPr="00FD3458">
        <w:rPr>
          <w:rFonts w:ascii="Segoe UI" w:eastAsia="Times New Roman" w:hAnsi="Segoe UI" w:cs="Segoe UI"/>
          <w:color w:val="000000"/>
          <w:sz w:val="20"/>
          <w:szCs w:val="20"/>
          <w:lang w:eastAsia="es-CO"/>
        </w:rPr>
        <w:t> Reconocida en la corrección de la declaración.</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color w:val="000000"/>
          <w:sz w:val="20"/>
          <w:szCs w:val="20"/>
          <w:lang w:eastAsia="es-CO"/>
        </w:rPr>
        <w:t> </w:t>
      </w:r>
    </w:p>
    <w:bookmarkStart w:id="77" w:name="_ftn38"/>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Arial" w:eastAsia="Times New Roman" w:hAnsi="Arial" w:cs="Arial"/>
          <w:color w:val="000000"/>
          <w:sz w:val="18"/>
          <w:szCs w:val="18"/>
          <w:lang w:eastAsia="es-CO"/>
        </w:rPr>
        <w:fldChar w:fldCharType="begin"/>
      </w:r>
      <w:r w:rsidRPr="00FD3458">
        <w:rPr>
          <w:rFonts w:ascii="Arial" w:eastAsia="Times New Roman" w:hAnsi="Arial" w:cs="Arial"/>
          <w:color w:val="000000"/>
          <w:sz w:val="18"/>
          <w:szCs w:val="18"/>
          <w:lang w:eastAsia="es-CO"/>
        </w:rPr>
        <w:instrText xml:space="preserve"> HYPERLINK "https://www.ceta.org.co/html/vista_de_un_documento.asp?DocumentoID=36544" \l "_ftnref38" \o "" </w:instrText>
      </w:r>
      <w:r w:rsidRPr="00FD3458">
        <w:rPr>
          <w:rFonts w:ascii="Arial" w:eastAsia="Times New Roman" w:hAnsi="Arial" w:cs="Arial"/>
          <w:color w:val="000000"/>
          <w:sz w:val="18"/>
          <w:szCs w:val="18"/>
          <w:lang w:eastAsia="es-CO"/>
        </w:rPr>
        <w:fldChar w:fldCharType="separate"/>
      </w:r>
      <w:r w:rsidRPr="00FD3458">
        <w:rPr>
          <w:rFonts w:ascii="Segoe UI" w:eastAsia="Times New Roman" w:hAnsi="Segoe UI" w:cs="Segoe UI"/>
          <w:color w:val="0089E1"/>
          <w:sz w:val="20"/>
          <w:szCs w:val="20"/>
          <w:lang w:eastAsia="es-CO"/>
        </w:rPr>
        <w:t>[38]</w:t>
      </w:r>
      <w:r w:rsidRPr="00FD3458">
        <w:rPr>
          <w:rFonts w:ascii="Arial" w:eastAsia="Times New Roman" w:hAnsi="Arial" w:cs="Arial"/>
          <w:color w:val="000000"/>
          <w:sz w:val="18"/>
          <w:szCs w:val="18"/>
          <w:lang w:eastAsia="es-CO"/>
        </w:rPr>
        <w:fldChar w:fldCharType="end"/>
      </w:r>
      <w:bookmarkEnd w:id="77"/>
      <w:r w:rsidRPr="00FD3458">
        <w:rPr>
          <w:rFonts w:ascii="Segoe UI" w:eastAsia="Times New Roman" w:hAnsi="Segoe UI" w:cs="Segoe UI"/>
          <w:color w:val="000000"/>
          <w:sz w:val="20"/>
          <w:szCs w:val="20"/>
          <w:lang w:eastAsia="es-CO"/>
        </w:rPr>
        <w:t> </w:t>
      </w:r>
      <w:r w:rsidRPr="00FD3458">
        <w:rPr>
          <w:rFonts w:ascii="Segoe UI" w:eastAsia="Times New Roman" w:hAnsi="Segoe UI" w:cs="Segoe UI"/>
          <w:b/>
          <w:bCs/>
          <w:i/>
          <w:iCs/>
          <w:color w:val="000000"/>
          <w:sz w:val="20"/>
          <w:szCs w:val="20"/>
          <w:lang w:eastAsia="es-CO"/>
        </w:rPr>
        <w:t>“</w:t>
      </w:r>
      <w:hyperlink r:id="rId35" w:tooltip="Estatuto Tributario CETA" w:history="1">
        <w:r w:rsidRPr="00FD3458">
          <w:rPr>
            <w:rFonts w:ascii="Segoe UI" w:eastAsia="Times New Roman" w:hAnsi="Segoe UI" w:cs="Segoe UI"/>
            <w:b/>
            <w:bCs/>
            <w:i/>
            <w:iCs/>
            <w:color w:val="0089E1"/>
            <w:sz w:val="20"/>
            <w:szCs w:val="20"/>
            <w:lang w:eastAsia="es-CO"/>
          </w:rPr>
          <w:t>ARTÍCULO 760</w:t>
        </w:r>
      </w:hyperlink>
      <w:r w:rsidRPr="00FD3458">
        <w:rPr>
          <w:rFonts w:ascii="Segoe UI" w:eastAsia="Times New Roman" w:hAnsi="Segoe UI" w:cs="Segoe UI"/>
          <w:b/>
          <w:bCs/>
          <w:i/>
          <w:iCs/>
          <w:color w:val="000000"/>
          <w:sz w:val="20"/>
          <w:szCs w:val="20"/>
          <w:lang w:eastAsia="es-CO"/>
        </w:rPr>
        <w:t>. PRESUNCIÓN DE INGRESOS POR OMISIÓN DEL REGISTRO DE COMPRAS.</w:t>
      </w:r>
      <w:r w:rsidRPr="00FD3458">
        <w:rPr>
          <w:rFonts w:ascii="Segoe UI" w:eastAsia="Times New Roman" w:hAnsi="Segoe UI" w:cs="Segoe UI"/>
          <w:i/>
          <w:iCs/>
          <w:color w:val="000000"/>
          <w:sz w:val="20"/>
          <w:szCs w:val="20"/>
          <w:lang w:eastAsia="es-CO"/>
        </w:rPr>
        <w:t> Cuando se constate que el responsable ha omitido registrar compras destinadas a las operaciones gravadas, se presumirá como ingreso gravado omitido el resultado que se obtenga al efectuar el siguiente cálculo: se tomará el valor de las compras omitidas y se dividirá por el porcentaje que resulte de restar del ciento por ciento (100%), el porcentaje de utilidad bruta registrado por el contribuyente en la declaración de renta del mismo ejercicio fiscal o del inmediatamente anterior.</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0"/>
          <w:szCs w:val="20"/>
          <w:lang w:eastAsia="es-CO"/>
        </w:rPr>
        <w:t> </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0"/>
          <w:szCs w:val="20"/>
          <w:lang w:eastAsia="es-CO"/>
        </w:rPr>
        <w:t>El porcentaje de utilidad bruta a que se refiere el inciso anterior será el resultado de dividir la renta bruta operacional por la totalidad de los ingresos brutos operacionales que figuren en la declaración de renta. Cuando no existieren declaraciones del impuesto de renta, se presumirá que tal porcentaje es del cincuenta por ciento (50%).</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0"/>
          <w:szCs w:val="20"/>
          <w:lang w:eastAsia="es-CO"/>
        </w:rPr>
        <w:t>(…)”.</w:t>
      </w:r>
    </w:p>
    <w:p w:rsidR="00FD3458" w:rsidRPr="00FD3458" w:rsidRDefault="00FD3458" w:rsidP="00FD3458">
      <w:pPr>
        <w:spacing w:after="0" w:line="240" w:lineRule="auto"/>
        <w:jc w:val="both"/>
        <w:rPr>
          <w:rFonts w:ascii="Arial" w:eastAsia="Times New Roman" w:hAnsi="Arial" w:cs="Arial"/>
          <w:color w:val="000000"/>
          <w:sz w:val="18"/>
          <w:szCs w:val="18"/>
          <w:lang w:eastAsia="es-CO"/>
        </w:rPr>
      </w:pPr>
      <w:r w:rsidRPr="00FD3458">
        <w:rPr>
          <w:rFonts w:ascii="Segoe UI" w:eastAsia="Times New Roman" w:hAnsi="Segoe UI" w:cs="Segoe UI"/>
          <w:i/>
          <w:iCs/>
          <w:color w:val="000000"/>
          <w:sz w:val="20"/>
          <w:szCs w:val="20"/>
          <w:lang w:eastAsia="es-CO"/>
        </w:rPr>
        <w:t> </w:t>
      </w:r>
    </w:p>
    <w:bookmarkStart w:id="78" w:name="_ftn39"/>
    <w:p w:rsidR="00FD3458" w:rsidRPr="00FD3458" w:rsidRDefault="00FD3458" w:rsidP="00FD3458">
      <w:pPr>
        <w:spacing w:after="0" w:line="240" w:lineRule="auto"/>
        <w:jc w:val="both"/>
        <w:rPr>
          <w:rFonts w:eastAsia="Times New Roman" w:cs="Times New Roman"/>
          <w:color w:val="000000"/>
          <w:szCs w:val="24"/>
          <w:lang w:eastAsia="es-CO"/>
        </w:rPr>
      </w:pPr>
      <w:r w:rsidRPr="00FD3458">
        <w:rPr>
          <w:rFonts w:eastAsia="Times New Roman" w:cs="Times New Roman"/>
          <w:color w:val="000000"/>
          <w:szCs w:val="24"/>
          <w:lang w:eastAsia="es-CO"/>
        </w:rPr>
        <w:fldChar w:fldCharType="begin"/>
      </w:r>
      <w:r w:rsidRPr="00FD3458">
        <w:rPr>
          <w:rFonts w:eastAsia="Times New Roman" w:cs="Times New Roman"/>
          <w:color w:val="000000"/>
          <w:szCs w:val="24"/>
          <w:lang w:eastAsia="es-CO"/>
        </w:rPr>
        <w:instrText xml:space="preserve"> HYPERLINK "https://www.ceta.org.co/html/vista_de_un_documento.asp?DocumentoID=36544" \l "_ftnref39" \o "" </w:instrText>
      </w:r>
      <w:r w:rsidRPr="00FD3458">
        <w:rPr>
          <w:rFonts w:eastAsia="Times New Roman" w:cs="Times New Roman"/>
          <w:color w:val="000000"/>
          <w:szCs w:val="24"/>
          <w:lang w:eastAsia="es-CO"/>
        </w:rPr>
        <w:fldChar w:fldCharType="separate"/>
      </w:r>
      <w:r w:rsidRPr="00FD3458">
        <w:rPr>
          <w:rFonts w:eastAsia="Times New Roman" w:cs="Times New Roman"/>
          <w:color w:val="0089E1"/>
          <w:szCs w:val="24"/>
          <w:lang w:eastAsia="es-CO"/>
        </w:rPr>
        <w:t>[39]</w:t>
      </w:r>
      <w:r w:rsidRPr="00FD3458">
        <w:rPr>
          <w:rFonts w:eastAsia="Times New Roman" w:cs="Times New Roman"/>
          <w:color w:val="000000"/>
          <w:szCs w:val="24"/>
          <w:lang w:eastAsia="es-CO"/>
        </w:rPr>
        <w:fldChar w:fldCharType="end"/>
      </w:r>
      <w:bookmarkEnd w:id="78"/>
      <w:r w:rsidRPr="00FD3458">
        <w:rPr>
          <w:rFonts w:eastAsia="Times New Roman" w:cs="Times New Roman"/>
          <w:color w:val="000000"/>
          <w:szCs w:val="24"/>
          <w:lang w:eastAsia="es-CO"/>
        </w:rPr>
        <w:t> </w:t>
      </w:r>
      <w:r w:rsidRPr="00FD3458">
        <w:rPr>
          <w:rFonts w:eastAsia="Times New Roman" w:cs="Times New Roman"/>
          <w:b/>
          <w:bCs/>
          <w:i/>
          <w:iCs/>
          <w:color w:val="000000"/>
          <w:szCs w:val="24"/>
          <w:lang w:eastAsia="es-CO"/>
        </w:rPr>
        <w:t>“</w:t>
      </w:r>
      <w:hyperlink r:id="rId36" w:tooltip="Estatuto Tributario CETA" w:history="1">
        <w:r w:rsidRPr="00FD3458">
          <w:rPr>
            <w:rFonts w:eastAsia="Times New Roman" w:cs="Times New Roman"/>
            <w:b/>
            <w:bCs/>
            <w:i/>
            <w:iCs/>
            <w:color w:val="0089E1"/>
            <w:szCs w:val="24"/>
            <w:lang w:eastAsia="es-CO"/>
          </w:rPr>
          <w:t>ARTÍCULO 760</w:t>
        </w:r>
      </w:hyperlink>
      <w:r w:rsidRPr="00FD3458">
        <w:rPr>
          <w:rFonts w:eastAsia="Times New Roman" w:cs="Times New Roman"/>
          <w:b/>
          <w:bCs/>
          <w:i/>
          <w:iCs/>
          <w:color w:val="000000"/>
          <w:szCs w:val="24"/>
          <w:lang w:eastAsia="es-CO"/>
        </w:rPr>
        <w:t>. PRESUNCIÓN DE INGRESOS POR OMISIÓN DEL REGISTRO DE COMPRAS.</w:t>
      </w:r>
      <w:r w:rsidRPr="00FD3458">
        <w:rPr>
          <w:rFonts w:eastAsia="Times New Roman" w:cs="Times New Roman"/>
          <w:i/>
          <w:iCs/>
          <w:color w:val="000000"/>
          <w:szCs w:val="24"/>
          <w:lang w:eastAsia="es-CO"/>
        </w:rPr>
        <w:t> (…) </w:t>
      </w:r>
      <w:r w:rsidRPr="00FD3458">
        <w:rPr>
          <w:rFonts w:eastAsia="Times New Roman" w:cs="Times New Roman"/>
          <w:color w:val="000000"/>
          <w:szCs w:val="24"/>
          <w:lang w:eastAsia="es-CO"/>
        </w:rPr>
        <w:t>Lo dispuesto en este artículo permitirá presumir, igualmente, que el contribuyente del impuesto sobre la renta y complementarios ha omitido ingresos, constitutivos de renta líquida gravable, en la declaración del respectivo año o período gravable, por igual cuantía a la establecida en la forma aquí prevista.”.</w:t>
      </w:r>
    </w:p>
    <w:p w:rsidR="00FD3458" w:rsidRPr="00FD3458" w:rsidRDefault="00FD3458" w:rsidP="00FD3458">
      <w:pPr>
        <w:spacing w:after="0" w:line="240" w:lineRule="auto"/>
        <w:jc w:val="both"/>
        <w:rPr>
          <w:rFonts w:eastAsia="Times New Roman" w:cs="Times New Roman"/>
          <w:color w:val="000000"/>
          <w:szCs w:val="24"/>
          <w:lang w:eastAsia="es-CO"/>
        </w:rPr>
      </w:pPr>
    </w:p>
    <w:p w:rsidR="00FD3458" w:rsidRPr="00FD3458" w:rsidRDefault="00FD3458" w:rsidP="00FD3458">
      <w:pPr>
        <w:spacing w:after="0" w:line="240" w:lineRule="auto"/>
        <w:jc w:val="both"/>
        <w:rPr>
          <w:rFonts w:eastAsia="Times New Roman" w:cs="Times New Roman"/>
          <w:color w:val="000000"/>
          <w:szCs w:val="24"/>
          <w:lang w:eastAsia="es-CO"/>
        </w:rPr>
      </w:pPr>
      <w:r w:rsidRPr="00FD3458">
        <w:rPr>
          <w:rFonts w:eastAsia="Times New Roman" w:cs="Times New Roman"/>
          <w:color w:val="000000"/>
          <w:szCs w:val="24"/>
          <w:lang w:eastAsia="es-CO"/>
        </w:rPr>
        <w:t xml:space="preserve">[40] Cfr. las sentencias de esta Sección de 20 de febrero de 2017, radicado nro. 150012333000-2013-00685-01 (21089), de 29 de junio de 2017, radicado nro. 760012331000-2010-01447-01 (20951) y de 15 de noviembre de 2017, radicado nro. 250002327000-2010-00277-01 (21042), C.P. Jorge Octavio Ramírez </w:t>
      </w:r>
      <w:proofErr w:type="spellStart"/>
      <w:r w:rsidRPr="00FD3458">
        <w:rPr>
          <w:rFonts w:eastAsia="Times New Roman" w:cs="Times New Roman"/>
          <w:color w:val="000000"/>
          <w:szCs w:val="24"/>
          <w:lang w:eastAsia="es-CO"/>
        </w:rPr>
        <w:t>Ramírez</w:t>
      </w:r>
      <w:proofErr w:type="spellEnd"/>
      <w:r w:rsidRPr="00FD3458">
        <w:rPr>
          <w:rFonts w:eastAsia="Times New Roman" w:cs="Times New Roman"/>
          <w:color w:val="000000"/>
          <w:szCs w:val="24"/>
          <w:lang w:eastAsia="es-CO"/>
        </w:rPr>
        <w:t>, entre otras.</w:t>
      </w:r>
    </w:p>
    <w:p w:rsidR="00FD3458" w:rsidRPr="00FD3458" w:rsidRDefault="00FD3458">
      <w:pPr>
        <w:rPr>
          <w:rFonts w:cs="Times New Roman"/>
          <w:szCs w:val="24"/>
        </w:rPr>
      </w:pPr>
    </w:p>
    <w:tbl>
      <w:tblPr>
        <w:tblW w:w="0" w:type="auto"/>
        <w:tblCellSpacing w:w="0" w:type="dxa"/>
        <w:tblCellMar>
          <w:left w:w="0" w:type="dxa"/>
          <w:right w:w="0" w:type="dxa"/>
        </w:tblCellMar>
        <w:tblLook w:val="04A0" w:firstRow="1" w:lastRow="0" w:firstColumn="1" w:lastColumn="0" w:noHBand="0" w:noVBand="1"/>
      </w:tblPr>
      <w:tblGrid>
        <w:gridCol w:w="8789"/>
      </w:tblGrid>
      <w:tr w:rsidR="00FD3458" w:rsidRPr="00FD3458" w:rsidTr="00FD3458">
        <w:trPr>
          <w:tblCellSpacing w:w="0" w:type="dxa"/>
        </w:trPr>
        <w:tc>
          <w:tcPr>
            <w:tcW w:w="8789" w:type="dxa"/>
            <w:hideMark/>
          </w:tcPr>
          <w:p w:rsidR="00FD3458" w:rsidRPr="00FD3458" w:rsidRDefault="00FD3458">
            <w:pPr>
              <w:rPr>
                <w:rFonts w:cs="Times New Roman"/>
                <w:szCs w:val="24"/>
              </w:rPr>
            </w:pPr>
          </w:p>
          <w:p w:rsidR="00FD3458" w:rsidRPr="00FD3458" w:rsidRDefault="00FD3458" w:rsidP="00FD3458">
            <w:pPr>
              <w:spacing w:after="0" w:line="240" w:lineRule="auto"/>
              <w:rPr>
                <w:rFonts w:eastAsia="Times New Roman" w:cs="Times New Roman"/>
                <w:szCs w:val="24"/>
                <w:lang w:eastAsia="es-CO"/>
              </w:rPr>
            </w:pPr>
          </w:p>
        </w:tc>
        <w:bookmarkStart w:id="79" w:name="_GoBack"/>
        <w:bookmarkEnd w:id="79"/>
      </w:tr>
    </w:tbl>
    <w:p w:rsidR="00FD3458" w:rsidRPr="00FD3458" w:rsidRDefault="00FD3458" w:rsidP="00FD3458">
      <w:pPr>
        <w:spacing w:after="0" w:line="240" w:lineRule="auto"/>
        <w:rPr>
          <w:rFonts w:eastAsia="Times New Roman" w:cs="Times New Roman"/>
          <w:vanish/>
          <w:szCs w:val="24"/>
          <w:lang w:eastAsia="es-CO"/>
        </w:rPr>
      </w:pPr>
    </w:p>
    <w:sectPr w:rsidR="00FD3458" w:rsidRPr="00FD3458"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58"/>
    <w:rsid w:val="00730617"/>
    <w:rsid w:val="00A45230"/>
    <w:rsid w:val="00FD34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B691"/>
  <w15:chartTrackingRefBased/>
  <w15:docId w15:val="{0AA72C95-BF92-479D-9D91-2CBCA24C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FD3458"/>
  </w:style>
  <w:style w:type="paragraph" w:customStyle="1" w:styleId="msonormal0">
    <w:name w:val="msonormal"/>
    <w:basedOn w:val="Normal"/>
    <w:rsid w:val="00FD3458"/>
    <w:pPr>
      <w:spacing w:before="100" w:beforeAutospacing="1" w:after="100" w:afterAutospacing="1" w:line="240" w:lineRule="auto"/>
    </w:pPr>
    <w:rPr>
      <w:rFonts w:eastAsia="Times New Roman" w:cs="Times New Roman"/>
      <w:szCs w:val="24"/>
      <w:lang w:eastAsia="es-CO"/>
    </w:rPr>
  </w:style>
  <w:style w:type="paragraph" w:styleId="Sinespaciado">
    <w:name w:val="No Spacing"/>
    <w:basedOn w:val="Normal"/>
    <w:uiPriority w:val="1"/>
    <w:qFormat/>
    <w:rsid w:val="00FD3458"/>
    <w:pPr>
      <w:spacing w:before="100" w:beforeAutospacing="1" w:after="100" w:afterAutospacing="1" w:line="240" w:lineRule="auto"/>
    </w:pPr>
    <w:rPr>
      <w:rFonts w:eastAsia="Times New Roman" w:cs="Times New Roman"/>
      <w:szCs w:val="24"/>
      <w:lang w:eastAsia="es-CO"/>
    </w:rPr>
  </w:style>
  <w:style w:type="paragraph" w:styleId="Prrafodelista">
    <w:name w:val="List Paragraph"/>
    <w:basedOn w:val="Normal"/>
    <w:uiPriority w:val="34"/>
    <w:qFormat/>
    <w:rsid w:val="00FD3458"/>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FD3458"/>
    <w:rPr>
      <w:color w:val="0000FF"/>
      <w:u w:val="single"/>
    </w:rPr>
  </w:style>
  <w:style w:type="character" w:styleId="Hipervnculovisitado">
    <w:name w:val="FollowedHyperlink"/>
    <w:basedOn w:val="Fuentedeprrafopredeter"/>
    <w:uiPriority w:val="99"/>
    <w:semiHidden/>
    <w:unhideWhenUsed/>
    <w:rsid w:val="00FD3458"/>
    <w:rPr>
      <w:color w:val="800080"/>
      <w:u w:val="single"/>
    </w:rPr>
  </w:style>
  <w:style w:type="character" w:styleId="Refdenotaalpie">
    <w:name w:val="footnote reference"/>
    <w:basedOn w:val="Fuentedeprrafopredeter"/>
    <w:uiPriority w:val="99"/>
    <w:semiHidden/>
    <w:unhideWhenUsed/>
    <w:rsid w:val="00FD3458"/>
  </w:style>
  <w:style w:type="paragraph" w:styleId="Textonotapie">
    <w:name w:val="footnote text"/>
    <w:basedOn w:val="Normal"/>
    <w:link w:val="TextonotapieCar"/>
    <w:uiPriority w:val="99"/>
    <w:semiHidden/>
    <w:unhideWhenUsed/>
    <w:rsid w:val="00FD3458"/>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FD3458"/>
    <w:rPr>
      <w:rFonts w:eastAsia="Times New Roman" w:cs="Times New Roman"/>
      <w:szCs w:val="24"/>
      <w:lang w:eastAsia="es-CO"/>
    </w:rPr>
  </w:style>
  <w:style w:type="paragraph" w:styleId="NormalWeb">
    <w:name w:val="Normal (Web)"/>
    <w:basedOn w:val="Normal"/>
    <w:uiPriority w:val="99"/>
    <w:semiHidden/>
    <w:unhideWhenUsed/>
    <w:rsid w:val="00FD3458"/>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7567">
      <w:bodyDiv w:val="1"/>
      <w:marLeft w:val="0"/>
      <w:marRight w:val="0"/>
      <w:marTop w:val="0"/>
      <w:marBottom w:val="0"/>
      <w:divBdr>
        <w:top w:val="none" w:sz="0" w:space="0" w:color="auto"/>
        <w:left w:val="none" w:sz="0" w:space="0" w:color="auto"/>
        <w:bottom w:val="none" w:sz="0" w:space="0" w:color="auto"/>
        <w:right w:val="none" w:sz="0" w:space="0" w:color="auto"/>
      </w:divBdr>
      <w:divsChild>
        <w:div w:id="125701164">
          <w:marLeft w:val="0"/>
          <w:marRight w:val="0"/>
          <w:marTop w:val="0"/>
          <w:marBottom w:val="0"/>
          <w:divBdr>
            <w:top w:val="none" w:sz="0" w:space="0" w:color="auto"/>
            <w:left w:val="none" w:sz="0" w:space="0" w:color="auto"/>
            <w:bottom w:val="none" w:sz="0" w:space="0" w:color="auto"/>
            <w:right w:val="none" w:sz="0" w:space="0" w:color="auto"/>
          </w:divBdr>
          <w:divsChild>
            <w:div w:id="1871721785">
              <w:marLeft w:val="0"/>
              <w:marRight w:val="0"/>
              <w:marTop w:val="0"/>
              <w:marBottom w:val="0"/>
              <w:divBdr>
                <w:top w:val="none" w:sz="0" w:space="0" w:color="auto"/>
                <w:left w:val="none" w:sz="0" w:space="0" w:color="auto"/>
                <w:bottom w:val="none" w:sz="0" w:space="0" w:color="auto"/>
                <w:right w:val="none" w:sz="0" w:space="0" w:color="auto"/>
              </w:divBdr>
            </w:div>
            <w:div w:id="1401443363">
              <w:marLeft w:val="0"/>
              <w:marRight w:val="0"/>
              <w:marTop w:val="0"/>
              <w:marBottom w:val="0"/>
              <w:divBdr>
                <w:top w:val="none" w:sz="0" w:space="0" w:color="auto"/>
                <w:left w:val="none" w:sz="0" w:space="0" w:color="auto"/>
                <w:bottom w:val="none" w:sz="0" w:space="0" w:color="auto"/>
                <w:right w:val="none" w:sz="0" w:space="0" w:color="auto"/>
              </w:divBdr>
            </w:div>
            <w:div w:id="1908764707">
              <w:marLeft w:val="0"/>
              <w:marRight w:val="0"/>
              <w:marTop w:val="0"/>
              <w:marBottom w:val="0"/>
              <w:divBdr>
                <w:top w:val="none" w:sz="0" w:space="0" w:color="auto"/>
                <w:left w:val="none" w:sz="0" w:space="0" w:color="auto"/>
                <w:bottom w:val="none" w:sz="0" w:space="0" w:color="auto"/>
                <w:right w:val="none" w:sz="0" w:space="0" w:color="auto"/>
              </w:divBdr>
            </w:div>
            <w:div w:id="355691049">
              <w:marLeft w:val="0"/>
              <w:marRight w:val="0"/>
              <w:marTop w:val="0"/>
              <w:marBottom w:val="0"/>
              <w:divBdr>
                <w:top w:val="none" w:sz="0" w:space="0" w:color="auto"/>
                <w:left w:val="none" w:sz="0" w:space="0" w:color="auto"/>
                <w:bottom w:val="none" w:sz="0" w:space="0" w:color="auto"/>
                <w:right w:val="none" w:sz="0" w:space="0" w:color="auto"/>
              </w:divBdr>
            </w:div>
            <w:div w:id="1231037930">
              <w:marLeft w:val="0"/>
              <w:marRight w:val="0"/>
              <w:marTop w:val="0"/>
              <w:marBottom w:val="0"/>
              <w:divBdr>
                <w:top w:val="none" w:sz="0" w:space="0" w:color="auto"/>
                <w:left w:val="none" w:sz="0" w:space="0" w:color="auto"/>
                <w:bottom w:val="none" w:sz="0" w:space="0" w:color="auto"/>
                <w:right w:val="none" w:sz="0" w:space="0" w:color="auto"/>
              </w:divBdr>
            </w:div>
            <w:div w:id="50347360">
              <w:marLeft w:val="0"/>
              <w:marRight w:val="0"/>
              <w:marTop w:val="0"/>
              <w:marBottom w:val="0"/>
              <w:divBdr>
                <w:top w:val="none" w:sz="0" w:space="0" w:color="auto"/>
                <w:left w:val="none" w:sz="0" w:space="0" w:color="auto"/>
                <w:bottom w:val="none" w:sz="0" w:space="0" w:color="auto"/>
                <w:right w:val="none" w:sz="0" w:space="0" w:color="auto"/>
              </w:divBdr>
            </w:div>
            <w:div w:id="712967056">
              <w:marLeft w:val="0"/>
              <w:marRight w:val="0"/>
              <w:marTop w:val="0"/>
              <w:marBottom w:val="0"/>
              <w:divBdr>
                <w:top w:val="none" w:sz="0" w:space="0" w:color="auto"/>
                <w:left w:val="none" w:sz="0" w:space="0" w:color="auto"/>
                <w:bottom w:val="none" w:sz="0" w:space="0" w:color="auto"/>
                <w:right w:val="none" w:sz="0" w:space="0" w:color="auto"/>
              </w:divBdr>
            </w:div>
            <w:div w:id="795293594">
              <w:marLeft w:val="0"/>
              <w:marRight w:val="0"/>
              <w:marTop w:val="0"/>
              <w:marBottom w:val="0"/>
              <w:divBdr>
                <w:top w:val="none" w:sz="0" w:space="0" w:color="auto"/>
                <w:left w:val="none" w:sz="0" w:space="0" w:color="auto"/>
                <w:bottom w:val="none" w:sz="0" w:space="0" w:color="auto"/>
                <w:right w:val="none" w:sz="0" w:space="0" w:color="auto"/>
              </w:divBdr>
            </w:div>
            <w:div w:id="921765485">
              <w:marLeft w:val="0"/>
              <w:marRight w:val="0"/>
              <w:marTop w:val="0"/>
              <w:marBottom w:val="0"/>
              <w:divBdr>
                <w:top w:val="none" w:sz="0" w:space="0" w:color="auto"/>
                <w:left w:val="none" w:sz="0" w:space="0" w:color="auto"/>
                <w:bottom w:val="none" w:sz="0" w:space="0" w:color="auto"/>
                <w:right w:val="none" w:sz="0" w:space="0" w:color="auto"/>
              </w:divBdr>
            </w:div>
            <w:div w:id="361515903">
              <w:marLeft w:val="0"/>
              <w:marRight w:val="0"/>
              <w:marTop w:val="0"/>
              <w:marBottom w:val="0"/>
              <w:divBdr>
                <w:top w:val="none" w:sz="0" w:space="0" w:color="auto"/>
                <w:left w:val="none" w:sz="0" w:space="0" w:color="auto"/>
                <w:bottom w:val="none" w:sz="0" w:space="0" w:color="auto"/>
                <w:right w:val="none" w:sz="0" w:space="0" w:color="auto"/>
              </w:divBdr>
            </w:div>
            <w:div w:id="1811828588">
              <w:marLeft w:val="0"/>
              <w:marRight w:val="0"/>
              <w:marTop w:val="0"/>
              <w:marBottom w:val="0"/>
              <w:divBdr>
                <w:top w:val="none" w:sz="0" w:space="0" w:color="auto"/>
                <w:left w:val="none" w:sz="0" w:space="0" w:color="auto"/>
                <w:bottom w:val="none" w:sz="0" w:space="0" w:color="auto"/>
                <w:right w:val="none" w:sz="0" w:space="0" w:color="auto"/>
              </w:divBdr>
            </w:div>
            <w:div w:id="2105614274">
              <w:marLeft w:val="0"/>
              <w:marRight w:val="0"/>
              <w:marTop w:val="0"/>
              <w:marBottom w:val="0"/>
              <w:divBdr>
                <w:top w:val="none" w:sz="0" w:space="0" w:color="auto"/>
                <w:left w:val="none" w:sz="0" w:space="0" w:color="auto"/>
                <w:bottom w:val="none" w:sz="0" w:space="0" w:color="auto"/>
                <w:right w:val="none" w:sz="0" w:space="0" w:color="auto"/>
              </w:divBdr>
            </w:div>
            <w:div w:id="1417943731">
              <w:marLeft w:val="0"/>
              <w:marRight w:val="0"/>
              <w:marTop w:val="0"/>
              <w:marBottom w:val="0"/>
              <w:divBdr>
                <w:top w:val="none" w:sz="0" w:space="0" w:color="auto"/>
                <w:left w:val="none" w:sz="0" w:space="0" w:color="auto"/>
                <w:bottom w:val="none" w:sz="0" w:space="0" w:color="auto"/>
                <w:right w:val="none" w:sz="0" w:space="0" w:color="auto"/>
              </w:divBdr>
            </w:div>
            <w:div w:id="1225414501">
              <w:marLeft w:val="0"/>
              <w:marRight w:val="0"/>
              <w:marTop w:val="0"/>
              <w:marBottom w:val="0"/>
              <w:divBdr>
                <w:top w:val="none" w:sz="0" w:space="0" w:color="auto"/>
                <w:left w:val="none" w:sz="0" w:space="0" w:color="auto"/>
                <w:bottom w:val="none" w:sz="0" w:space="0" w:color="auto"/>
                <w:right w:val="none" w:sz="0" w:space="0" w:color="auto"/>
              </w:divBdr>
            </w:div>
            <w:div w:id="1345132673">
              <w:marLeft w:val="0"/>
              <w:marRight w:val="0"/>
              <w:marTop w:val="0"/>
              <w:marBottom w:val="0"/>
              <w:divBdr>
                <w:top w:val="none" w:sz="0" w:space="0" w:color="auto"/>
                <w:left w:val="none" w:sz="0" w:space="0" w:color="auto"/>
                <w:bottom w:val="none" w:sz="0" w:space="0" w:color="auto"/>
                <w:right w:val="none" w:sz="0" w:space="0" w:color="auto"/>
              </w:divBdr>
            </w:div>
            <w:div w:id="734816844">
              <w:marLeft w:val="0"/>
              <w:marRight w:val="0"/>
              <w:marTop w:val="0"/>
              <w:marBottom w:val="0"/>
              <w:divBdr>
                <w:top w:val="none" w:sz="0" w:space="0" w:color="auto"/>
                <w:left w:val="none" w:sz="0" w:space="0" w:color="auto"/>
                <w:bottom w:val="none" w:sz="0" w:space="0" w:color="auto"/>
                <w:right w:val="none" w:sz="0" w:space="0" w:color="auto"/>
              </w:divBdr>
            </w:div>
            <w:div w:id="2073311127">
              <w:marLeft w:val="0"/>
              <w:marRight w:val="0"/>
              <w:marTop w:val="0"/>
              <w:marBottom w:val="0"/>
              <w:divBdr>
                <w:top w:val="none" w:sz="0" w:space="0" w:color="auto"/>
                <w:left w:val="none" w:sz="0" w:space="0" w:color="auto"/>
                <w:bottom w:val="none" w:sz="0" w:space="0" w:color="auto"/>
                <w:right w:val="none" w:sz="0" w:space="0" w:color="auto"/>
              </w:divBdr>
            </w:div>
            <w:div w:id="1090738321">
              <w:marLeft w:val="0"/>
              <w:marRight w:val="0"/>
              <w:marTop w:val="0"/>
              <w:marBottom w:val="0"/>
              <w:divBdr>
                <w:top w:val="none" w:sz="0" w:space="0" w:color="auto"/>
                <w:left w:val="none" w:sz="0" w:space="0" w:color="auto"/>
                <w:bottom w:val="none" w:sz="0" w:space="0" w:color="auto"/>
                <w:right w:val="none" w:sz="0" w:space="0" w:color="auto"/>
              </w:divBdr>
            </w:div>
            <w:div w:id="1252010033">
              <w:marLeft w:val="0"/>
              <w:marRight w:val="0"/>
              <w:marTop w:val="0"/>
              <w:marBottom w:val="0"/>
              <w:divBdr>
                <w:top w:val="none" w:sz="0" w:space="0" w:color="auto"/>
                <w:left w:val="none" w:sz="0" w:space="0" w:color="auto"/>
                <w:bottom w:val="none" w:sz="0" w:space="0" w:color="auto"/>
                <w:right w:val="none" w:sz="0" w:space="0" w:color="auto"/>
              </w:divBdr>
            </w:div>
            <w:div w:id="2124033966">
              <w:marLeft w:val="0"/>
              <w:marRight w:val="0"/>
              <w:marTop w:val="0"/>
              <w:marBottom w:val="0"/>
              <w:divBdr>
                <w:top w:val="none" w:sz="0" w:space="0" w:color="auto"/>
                <w:left w:val="none" w:sz="0" w:space="0" w:color="auto"/>
                <w:bottom w:val="none" w:sz="0" w:space="0" w:color="auto"/>
                <w:right w:val="none" w:sz="0" w:space="0" w:color="auto"/>
              </w:divBdr>
            </w:div>
            <w:div w:id="1105921465">
              <w:marLeft w:val="0"/>
              <w:marRight w:val="0"/>
              <w:marTop w:val="0"/>
              <w:marBottom w:val="0"/>
              <w:divBdr>
                <w:top w:val="none" w:sz="0" w:space="0" w:color="auto"/>
                <w:left w:val="none" w:sz="0" w:space="0" w:color="auto"/>
                <w:bottom w:val="none" w:sz="0" w:space="0" w:color="auto"/>
                <w:right w:val="none" w:sz="0" w:space="0" w:color="auto"/>
              </w:divBdr>
            </w:div>
            <w:div w:id="73165840">
              <w:marLeft w:val="0"/>
              <w:marRight w:val="0"/>
              <w:marTop w:val="0"/>
              <w:marBottom w:val="0"/>
              <w:divBdr>
                <w:top w:val="none" w:sz="0" w:space="0" w:color="auto"/>
                <w:left w:val="none" w:sz="0" w:space="0" w:color="auto"/>
                <w:bottom w:val="none" w:sz="0" w:space="0" w:color="auto"/>
                <w:right w:val="none" w:sz="0" w:space="0" w:color="auto"/>
              </w:divBdr>
            </w:div>
            <w:div w:id="1223176382">
              <w:marLeft w:val="0"/>
              <w:marRight w:val="0"/>
              <w:marTop w:val="0"/>
              <w:marBottom w:val="0"/>
              <w:divBdr>
                <w:top w:val="none" w:sz="0" w:space="0" w:color="auto"/>
                <w:left w:val="none" w:sz="0" w:space="0" w:color="auto"/>
                <w:bottom w:val="none" w:sz="0" w:space="0" w:color="auto"/>
                <w:right w:val="none" w:sz="0" w:space="0" w:color="auto"/>
              </w:divBdr>
            </w:div>
            <w:div w:id="1898204644">
              <w:marLeft w:val="0"/>
              <w:marRight w:val="0"/>
              <w:marTop w:val="0"/>
              <w:marBottom w:val="0"/>
              <w:divBdr>
                <w:top w:val="none" w:sz="0" w:space="0" w:color="auto"/>
                <w:left w:val="none" w:sz="0" w:space="0" w:color="auto"/>
                <w:bottom w:val="none" w:sz="0" w:space="0" w:color="auto"/>
                <w:right w:val="none" w:sz="0" w:space="0" w:color="auto"/>
              </w:divBdr>
            </w:div>
            <w:div w:id="876969711">
              <w:marLeft w:val="0"/>
              <w:marRight w:val="0"/>
              <w:marTop w:val="0"/>
              <w:marBottom w:val="0"/>
              <w:divBdr>
                <w:top w:val="none" w:sz="0" w:space="0" w:color="auto"/>
                <w:left w:val="none" w:sz="0" w:space="0" w:color="auto"/>
                <w:bottom w:val="none" w:sz="0" w:space="0" w:color="auto"/>
                <w:right w:val="none" w:sz="0" w:space="0" w:color="auto"/>
              </w:divBdr>
            </w:div>
            <w:div w:id="1048987819">
              <w:marLeft w:val="0"/>
              <w:marRight w:val="0"/>
              <w:marTop w:val="0"/>
              <w:marBottom w:val="0"/>
              <w:divBdr>
                <w:top w:val="none" w:sz="0" w:space="0" w:color="auto"/>
                <w:left w:val="none" w:sz="0" w:space="0" w:color="auto"/>
                <w:bottom w:val="none" w:sz="0" w:space="0" w:color="auto"/>
                <w:right w:val="none" w:sz="0" w:space="0" w:color="auto"/>
              </w:divBdr>
            </w:div>
            <w:div w:id="1978023815">
              <w:marLeft w:val="0"/>
              <w:marRight w:val="0"/>
              <w:marTop w:val="0"/>
              <w:marBottom w:val="0"/>
              <w:divBdr>
                <w:top w:val="none" w:sz="0" w:space="0" w:color="auto"/>
                <w:left w:val="none" w:sz="0" w:space="0" w:color="auto"/>
                <w:bottom w:val="none" w:sz="0" w:space="0" w:color="auto"/>
                <w:right w:val="none" w:sz="0" w:space="0" w:color="auto"/>
              </w:divBdr>
            </w:div>
            <w:div w:id="855072201">
              <w:marLeft w:val="0"/>
              <w:marRight w:val="0"/>
              <w:marTop w:val="0"/>
              <w:marBottom w:val="0"/>
              <w:divBdr>
                <w:top w:val="none" w:sz="0" w:space="0" w:color="auto"/>
                <w:left w:val="none" w:sz="0" w:space="0" w:color="auto"/>
                <w:bottom w:val="none" w:sz="0" w:space="0" w:color="auto"/>
                <w:right w:val="none" w:sz="0" w:space="0" w:color="auto"/>
              </w:divBdr>
            </w:div>
            <w:div w:id="54401892">
              <w:marLeft w:val="0"/>
              <w:marRight w:val="0"/>
              <w:marTop w:val="0"/>
              <w:marBottom w:val="0"/>
              <w:divBdr>
                <w:top w:val="none" w:sz="0" w:space="0" w:color="auto"/>
                <w:left w:val="none" w:sz="0" w:space="0" w:color="auto"/>
                <w:bottom w:val="none" w:sz="0" w:space="0" w:color="auto"/>
                <w:right w:val="none" w:sz="0" w:space="0" w:color="auto"/>
              </w:divBdr>
            </w:div>
            <w:div w:id="1255939872">
              <w:marLeft w:val="0"/>
              <w:marRight w:val="0"/>
              <w:marTop w:val="0"/>
              <w:marBottom w:val="0"/>
              <w:divBdr>
                <w:top w:val="none" w:sz="0" w:space="0" w:color="auto"/>
                <w:left w:val="none" w:sz="0" w:space="0" w:color="auto"/>
                <w:bottom w:val="none" w:sz="0" w:space="0" w:color="auto"/>
                <w:right w:val="none" w:sz="0" w:space="0" w:color="auto"/>
              </w:divBdr>
            </w:div>
            <w:div w:id="823549147">
              <w:marLeft w:val="0"/>
              <w:marRight w:val="0"/>
              <w:marTop w:val="0"/>
              <w:marBottom w:val="0"/>
              <w:divBdr>
                <w:top w:val="none" w:sz="0" w:space="0" w:color="auto"/>
                <w:left w:val="none" w:sz="0" w:space="0" w:color="auto"/>
                <w:bottom w:val="none" w:sz="0" w:space="0" w:color="auto"/>
                <w:right w:val="none" w:sz="0" w:space="0" w:color="auto"/>
              </w:divBdr>
            </w:div>
            <w:div w:id="1607956049">
              <w:marLeft w:val="0"/>
              <w:marRight w:val="0"/>
              <w:marTop w:val="0"/>
              <w:marBottom w:val="0"/>
              <w:divBdr>
                <w:top w:val="none" w:sz="0" w:space="0" w:color="auto"/>
                <w:left w:val="none" w:sz="0" w:space="0" w:color="auto"/>
                <w:bottom w:val="none" w:sz="0" w:space="0" w:color="auto"/>
                <w:right w:val="none" w:sz="0" w:space="0" w:color="auto"/>
              </w:divBdr>
            </w:div>
            <w:div w:id="943417101">
              <w:marLeft w:val="0"/>
              <w:marRight w:val="0"/>
              <w:marTop w:val="0"/>
              <w:marBottom w:val="0"/>
              <w:divBdr>
                <w:top w:val="none" w:sz="0" w:space="0" w:color="auto"/>
                <w:left w:val="none" w:sz="0" w:space="0" w:color="auto"/>
                <w:bottom w:val="none" w:sz="0" w:space="0" w:color="auto"/>
                <w:right w:val="none" w:sz="0" w:space="0" w:color="auto"/>
              </w:divBdr>
            </w:div>
            <w:div w:id="43801292">
              <w:marLeft w:val="0"/>
              <w:marRight w:val="0"/>
              <w:marTop w:val="0"/>
              <w:marBottom w:val="0"/>
              <w:divBdr>
                <w:top w:val="none" w:sz="0" w:space="0" w:color="auto"/>
                <w:left w:val="none" w:sz="0" w:space="0" w:color="auto"/>
                <w:bottom w:val="none" w:sz="0" w:space="0" w:color="auto"/>
                <w:right w:val="none" w:sz="0" w:space="0" w:color="auto"/>
              </w:divBdr>
            </w:div>
            <w:div w:id="1927030129">
              <w:marLeft w:val="0"/>
              <w:marRight w:val="0"/>
              <w:marTop w:val="0"/>
              <w:marBottom w:val="0"/>
              <w:divBdr>
                <w:top w:val="none" w:sz="0" w:space="0" w:color="auto"/>
                <w:left w:val="none" w:sz="0" w:space="0" w:color="auto"/>
                <w:bottom w:val="none" w:sz="0" w:space="0" w:color="auto"/>
                <w:right w:val="none" w:sz="0" w:space="0" w:color="auto"/>
              </w:divBdr>
            </w:div>
            <w:div w:id="2105566501">
              <w:marLeft w:val="0"/>
              <w:marRight w:val="0"/>
              <w:marTop w:val="0"/>
              <w:marBottom w:val="0"/>
              <w:divBdr>
                <w:top w:val="none" w:sz="0" w:space="0" w:color="auto"/>
                <w:left w:val="none" w:sz="0" w:space="0" w:color="auto"/>
                <w:bottom w:val="none" w:sz="0" w:space="0" w:color="auto"/>
                <w:right w:val="none" w:sz="0" w:space="0" w:color="auto"/>
              </w:divBdr>
            </w:div>
            <w:div w:id="1838183586">
              <w:marLeft w:val="0"/>
              <w:marRight w:val="0"/>
              <w:marTop w:val="0"/>
              <w:marBottom w:val="0"/>
              <w:divBdr>
                <w:top w:val="none" w:sz="0" w:space="0" w:color="auto"/>
                <w:left w:val="none" w:sz="0" w:space="0" w:color="auto"/>
                <w:bottom w:val="none" w:sz="0" w:space="0" w:color="auto"/>
                <w:right w:val="none" w:sz="0" w:space="0" w:color="auto"/>
              </w:divBdr>
            </w:div>
            <w:div w:id="258371164">
              <w:marLeft w:val="0"/>
              <w:marRight w:val="0"/>
              <w:marTop w:val="0"/>
              <w:marBottom w:val="0"/>
              <w:divBdr>
                <w:top w:val="none" w:sz="0" w:space="0" w:color="auto"/>
                <w:left w:val="none" w:sz="0" w:space="0" w:color="auto"/>
                <w:bottom w:val="none" w:sz="0" w:space="0" w:color="auto"/>
                <w:right w:val="none" w:sz="0" w:space="0" w:color="auto"/>
              </w:divBdr>
            </w:div>
            <w:div w:id="1950502226">
              <w:marLeft w:val="0"/>
              <w:marRight w:val="0"/>
              <w:marTop w:val="0"/>
              <w:marBottom w:val="0"/>
              <w:divBdr>
                <w:top w:val="none" w:sz="0" w:space="0" w:color="auto"/>
                <w:left w:val="none" w:sz="0" w:space="0" w:color="auto"/>
                <w:bottom w:val="none" w:sz="0" w:space="0" w:color="auto"/>
                <w:right w:val="none" w:sz="0" w:space="0" w:color="auto"/>
              </w:divBdr>
            </w:div>
            <w:div w:id="1922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4648">
      <w:bodyDiv w:val="1"/>
      <w:marLeft w:val="0"/>
      <w:marRight w:val="0"/>
      <w:marTop w:val="0"/>
      <w:marBottom w:val="0"/>
      <w:divBdr>
        <w:top w:val="none" w:sz="0" w:space="0" w:color="auto"/>
        <w:left w:val="none" w:sz="0" w:space="0" w:color="auto"/>
        <w:bottom w:val="none" w:sz="0" w:space="0" w:color="auto"/>
        <w:right w:val="none" w:sz="0" w:space="0" w:color="auto"/>
      </w:divBdr>
      <w:divsChild>
        <w:div w:id="1456480914">
          <w:marLeft w:val="0"/>
          <w:marRight w:val="0"/>
          <w:marTop w:val="0"/>
          <w:marBottom w:val="0"/>
          <w:divBdr>
            <w:top w:val="none" w:sz="0" w:space="0" w:color="auto"/>
            <w:left w:val="none" w:sz="0" w:space="0" w:color="auto"/>
            <w:bottom w:val="none" w:sz="0" w:space="0" w:color="auto"/>
            <w:right w:val="none" w:sz="0" w:space="0" w:color="auto"/>
          </w:divBdr>
          <w:divsChild>
            <w:div w:id="13689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612">
      <w:bodyDiv w:val="1"/>
      <w:marLeft w:val="0"/>
      <w:marRight w:val="0"/>
      <w:marTop w:val="0"/>
      <w:marBottom w:val="0"/>
      <w:divBdr>
        <w:top w:val="none" w:sz="0" w:space="0" w:color="auto"/>
        <w:left w:val="none" w:sz="0" w:space="0" w:color="auto"/>
        <w:bottom w:val="none" w:sz="0" w:space="0" w:color="auto"/>
        <w:right w:val="none" w:sz="0" w:space="0" w:color="auto"/>
      </w:divBdr>
      <w:divsChild>
        <w:div w:id="143545192">
          <w:marLeft w:val="0"/>
          <w:marRight w:val="0"/>
          <w:marTop w:val="0"/>
          <w:marBottom w:val="0"/>
          <w:divBdr>
            <w:top w:val="none" w:sz="0" w:space="0" w:color="auto"/>
            <w:left w:val="none" w:sz="0" w:space="0" w:color="auto"/>
            <w:bottom w:val="none" w:sz="0" w:space="0" w:color="auto"/>
            <w:right w:val="none" w:sz="0" w:space="0" w:color="auto"/>
          </w:divBdr>
        </w:div>
        <w:div w:id="1317145314">
          <w:marLeft w:val="0"/>
          <w:marRight w:val="0"/>
          <w:marTop w:val="0"/>
          <w:marBottom w:val="0"/>
          <w:divBdr>
            <w:top w:val="none" w:sz="0" w:space="0" w:color="auto"/>
            <w:left w:val="none" w:sz="0" w:space="0" w:color="auto"/>
            <w:bottom w:val="none" w:sz="0" w:space="0" w:color="auto"/>
            <w:right w:val="none" w:sz="0" w:space="0" w:color="auto"/>
          </w:divBdr>
        </w:div>
        <w:div w:id="414789554">
          <w:marLeft w:val="0"/>
          <w:marRight w:val="0"/>
          <w:marTop w:val="0"/>
          <w:marBottom w:val="0"/>
          <w:divBdr>
            <w:top w:val="none" w:sz="0" w:space="0" w:color="auto"/>
            <w:left w:val="none" w:sz="0" w:space="0" w:color="auto"/>
            <w:bottom w:val="none" w:sz="0" w:space="0" w:color="auto"/>
            <w:right w:val="none" w:sz="0" w:space="0" w:color="auto"/>
          </w:divBdr>
        </w:div>
        <w:div w:id="1578248104">
          <w:marLeft w:val="0"/>
          <w:marRight w:val="0"/>
          <w:marTop w:val="0"/>
          <w:marBottom w:val="0"/>
          <w:divBdr>
            <w:top w:val="none" w:sz="0" w:space="0" w:color="auto"/>
            <w:left w:val="none" w:sz="0" w:space="0" w:color="auto"/>
            <w:bottom w:val="none" w:sz="0" w:space="0" w:color="auto"/>
            <w:right w:val="none" w:sz="0" w:space="0" w:color="auto"/>
          </w:divBdr>
        </w:div>
        <w:div w:id="1860191333">
          <w:marLeft w:val="0"/>
          <w:marRight w:val="0"/>
          <w:marTop w:val="0"/>
          <w:marBottom w:val="0"/>
          <w:divBdr>
            <w:top w:val="none" w:sz="0" w:space="0" w:color="auto"/>
            <w:left w:val="none" w:sz="0" w:space="0" w:color="auto"/>
            <w:bottom w:val="none" w:sz="0" w:space="0" w:color="auto"/>
            <w:right w:val="none" w:sz="0" w:space="0" w:color="auto"/>
          </w:divBdr>
        </w:div>
        <w:div w:id="1896350182">
          <w:marLeft w:val="0"/>
          <w:marRight w:val="0"/>
          <w:marTop w:val="0"/>
          <w:marBottom w:val="0"/>
          <w:divBdr>
            <w:top w:val="none" w:sz="0" w:space="0" w:color="auto"/>
            <w:left w:val="none" w:sz="0" w:space="0" w:color="auto"/>
            <w:bottom w:val="none" w:sz="0" w:space="0" w:color="auto"/>
            <w:right w:val="none" w:sz="0" w:space="0" w:color="auto"/>
          </w:divBdr>
        </w:div>
        <w:div w:id="1545482944">
          <w:marLeft w:val="0"/>
          <w:marRight w:val="0"/>
          <w:marTop w:val="0"/>
          <w:marBottom w:val="0"/>
          <w:divBdr>
            <w:top w:val="none" w:sz="0" w:space="0" w:color="auto"/>
            <w:left w:val="none" w:sz="0" w:space="0" w:color="auto"/>
            <w:bottom w:val="none" w:sz="0" w:space="0" w:color="auto"/>
            <w:right w:val="none" w:sz="0" w:space="0" w:color="auto"/>
          </w:divBdr>
        </w:div>
        <w:div w:id="2063406154">
          <w:marLeft w:val="0"/>
          <w:marRight w:val="0"/>
          <w:marTop w:val="0"/>
          <w:marBottom w:val="0"/>
          <w:divBdr>
            <w:top w:val="none" w:sz="0" w:space="0" w:color="auto"/>
            <w:left w:val="none" w:sz="0" w:space="0" w:color="auto"/>
            <w:bottom w:val="none" w:sz="0" w:space="0" w:color="auto"/>
            <w:right w:val="none" w:sz="0" w:space="0" w:color="auto"/>
          </w:divBdr>
        </w:div>
        <w:div w:id="2015649926">
          <w:marLeft w:val="0"/>
          <w:marRight w:val="0"/>
          <w:marTop w:val="0"/>
          <w:marBottom w:val="0"/>
          <w:divBdr>
            <w:top w:val="none" w:sz="0" w:space="0" w:color="auto"/>
            <w:left w:val="none" w:sz="0" w:space="0" w:color="auto"/>
            <w:bottom w:val="none" w:sz="0" w:space="0" w:color="auto"/>
            <w:right w:val="none" w:sz="0" w:space="0" w:color="auto"/>
          </w:divBdr>
        </w:div>
        <w:div w:id="372274122">
          <w:marLeft w:val="0"/>
          <w:marRight w:val="0"/>
          <w:marTop w:val="0"/>
          <w:marBottom w:val="0"/>
          <w:divBdr>
            <w:top w:val="none" w:sz="0" w:space="0" w:color="auto"/>
            <w:left w:val="none" w:sz="0" w:space="0" w:color="auto"/>
            <w:bottom w:val="none" w:sz="0" w:space="0" w:color="auto"/>
            <w:right w:val="none" w:sz="0" w:space="0" w:color="auto"/>
          </w:divBdr>
        </w:div>
        <w:div w:id="780295769">
          <w:marLeft w:val="0"/>
          <w:marRight w:val="0"/>
          <w:marTop w:val="0"/>
          <w:marBottom w:val="0"/>
          <w:divBdr>
            <w:top w:val="none" w:sz="0" w:space="0" w:color="auto"/>
            <w:left w:val="none" w:sz="0" w:space="0" w:color="auto"/>
            <w:bottom w:val="none" w:sz="0" w:space="0" w:color="auto"/>
            <w:right w:val="none" w:sz="0" w:space="0" w:color="auto"/>
          </w:divBdr>
        </w:div>
        <w:div w:id="567763189">
          <w:marLeft w:val="0"/>
          <w:marRight w:val="0"/>
          <w:marTop w:val="0"/>
          <w:marBottom w:val="0"/>
          <w:divBdr>
            <w:top w:val="none" w:sz="0" w:space="0" w:color="auto"/>
            <w:left w:val="none" w:sz="0" w:space="0" w:color="auto"/>
            <w:bottom w:val="none" w:sz="0" w:space="0" w:color="auto"/>
            <w:right w:val="none" w:sz="0" w:space="0" w:color="auto"/>
          </w:divBdr>
        </w:div>
        <w:div w:id="1317537104">
          <w:marLeft w:val="0"/>
          <w:marRight w:val="0"/>
          <w:marTop w:val="0"/>
          <w:marBottom w:val="0"/>
          <w:divBdr>
            <w:top w:val="none" w:sz="0" w:space="0" w:color="auto"/>
            <w:left w:val="none" w:sz="0" w:space="0" w:color="auto"/>
            <w:bottom w:val="none" w:sz="0" w:space="0" w:color="auto"/>
            <w:right w:val="none" w:sz="0" w:space="0" w:color="auto"/>
          </w:divBdr>
        </w:div>
        <w:div w:id="1727411576">
          <w:marLeft w:val="0"/>
          <w:marRight w:val="0"/>
          <w:marTop w:val="0"/>
          <w:marBottom w:val="0"/>
          <w:divBdr>
            <w:top w:val="none" w:sz="0" w:space="0" w:color="auto"/>
            <w:left w:val="none" w:sz="0" w:space="0" w:color="auto"/>
            <w:bottom w:val="none" w:sz="0" w:space="0" w:color="auto"/>
            <w:right w:val="none" w:sz="0" w:space="0" w:color="auto"/>
          </w:divBdr>
        </w:div>
        <w:div w:id="1724211508">
          <w:marLeft w:val="0"/>
          <w:marRight w:val="0"/>
          <w:marTop w:val="0"/>
          <w:marBottom w:val="0"/>
          <w:divBdr>
            <w:top w:val="none" w:sz="0" w:space="0" w:color="auto"/>
            <w:left w:val="none" w:sz="0" w:space="0" w:color="auto"/>
            <w:bottom w:val="none" w:sz="0" w:space="0" w:color="auto"/>
            <w:right w:val="none" w:sz="0" w:space="0" w:color="auto"/>
          </w:divBdr>
        </w:div>
        <w:div w:id="527065702">
          <w:marLeft w:val="0"/>
          <w:marRight w:val="0"/>
          <w:marTop w:val="0"/>
          <w:marBottom w:val="0"/>
          <w:divBdr>
            <w:top w:val="none" w:sz="0" w:space="0" w:color="auto"/>
            <w:left w:val="none" w:sz="0" w:space="0" w:color="auto"/>
            <w:bottom w:val="none" w:sz="0" w:space="0" w:color="auto"/>
            <w:right w:val="none" w:sz="0" w:space="0" w:color="auto"/>
          </w:divBdr>
        </w:div>
        <w:div w:id="2140804365">
          <w:marLeft w:val="0"/>
          <w:marRight w:val="0"/>
          <w:marTop w:val="0"/>
          <w:marBottom w:val="0"/>
          <w:divBdr>
            <w:top w:val="none" w:sz="0" w:space="0" w:color="auto"/>
            <w:left w:val="none" w:sz="0" w:space="0" w:color="auto"/>
            <w:bottom w:val="none" w:sz="0" w:space="0" w:color="auto"/>
            <w:right w:val="none" w:sz="0" w:space="0" w:color="auto"/>
          </w:divBdr>
        </w:div>
        <w:div w:id="569003942">
          <w:marLeft w:val="0"/>
          <w:marRight w:val="0"/>
          <w:marTop w:val="0"/>
          <w:marBottom w:val="0"/>
          <w:divBdr>
            <w:top w:val="none" w:sz="0" w:space="0" w:color="auto"/>
            <w:left w:val="none" w:sz="0" w:space="0" w:color="auto"/>
            <w:bottom w:val="none" w:sz="0" w:space="0" w:color="auto"/>
            <w:right w:val="none" w:sz="0" w:space="0" w:color="auto"/>
          </w:divBdr>
        </w:div>
        <w:div w:id="1165897220">
          <w:marLeft w:val="0"/>
          <w:marRight w:val="0"/>
          <w:marTop w:val="0"/>
          <w:marBottom w:val="0"/>
          <w:divBdr>
            <w:top w:val="none" w:sz="0" w:space="0" w:color="auto"/>
            <w:left w:val="none" w:sz="0" w:space="0" w:color="auto"/>
            <w:bottom w:val="none" w:sz="0" w:space="0" w:color="auto"/>
            <w:right w:val="none" w:sz="0" w:space="0" w:color="auto"/>
          </w:divBdr>
        </w:div>
        <w:div w:id="1525710384">
          <w:marLeft w:val="0"/>
          <w:marRight w:val="0"/>
          <w:marTop w:val="0"/>
          <w:marBottom w:val="0"/>
          <w:divBdr>
            <w:top w:val="none" w:sz="0" w:space="0" w:color="auto"/>
            <w:left w:val="none" w:sz="0" w:space="0" w:color="auto"/>
            <w:bottom w:val="none" w:sz="0" w:space="0" w:color="auto"/>
            <w:right w:val="none" w:sz="0" w:space="0" w:color="auto"/>
          </w:divBdr>
        </w:div>
        <w:div w:id="533466336">
          <w:marLeft w:val="0"/>
          <w:marRight w:val="0"/>
          <w:marTop w:val="0"/>
          <w:marBottom w:val="0"/>
          <w:divBdr>
            <w:top w:val="none" w:sz="0" w:space="0" w:color="auto"/>
            <w:left w:val="none" w:sz="0" w:space="0" w:color="auto"/>
            <w:bottom w:val="none" w:sz="0" w:space="0" w:color="auto"/>
            <w:right w:val="none" w:sz="0" w:space="0" w:color="auto"/>
          </w:divBdr>
        </w:div>
        <w:div w:id="48190969">
          <w:marLeft w:val="0"/>
          <w:marRight w:val="0"/>
          <w:marTop w:val="0"/>
          <w:marBottom w:val="0"/>
          <w:divBdr>
            <w:top w:val="none" w:sz="0" w:space="0" w:color="auto"/>
            <w:left w:val="none" w:sz="0" w:space="0" w:color="auto"/>
            <w:bottom w:val="none" w:sz="0" w:space="0" w:color="auto"/>
            <w:right w:val="none" w:sz="0" w:space="0" w:color="auto"/>
          </w:divBdr>
        </w:div>
        <w:div w:id="1359089750">
          <w:marLeft w:val="0"/>
          <w:marRight w:val="0"/>
          <w:marTop w:val="0"/>
          <w:marBottom w:val="0"/>
          <w:divBdr>
            <w:top w:val="none" w:sz="0" w:space="0" w:color="auto"/>
            <w:left w:val="none" w:sz="0" w:space="0" w:color="auto"/>
            <w:bottom w:val="none" w:sz="0" w:space="0" w:color="auto"/>
            <w:right w:val="none" w:sz="0" w:space="0" w:color="auto"/>
          </w:divBdr>
        </w:div>
        <w:div w:id="1024938907">
          <w:marLeft w:val="0"/>
          <w:marRight w:val="0"/>
          <w:marTop w:val="0"/>
          <w:marBottom w:val="0"/>
          <w:divBdr>
            <w:top w:val="none" w:sz="0" w:space="0" w:color="auto"/>
            <w:left w:val="none" w:sz="0" w:space="0" w:color="auto"/>
            <w:bottom w:val="none" w:sz="0" w:space="0" w:color="auto"/>
            <w:right w:val="none" w:sz="0" w:space="0" w:color="auto"/>
          </w:divBdr>
        </w:div>
        <w:div w:id="152915857">
          <w:marLeft w:val="0"/>
          <w:marRight w:val="0"/>
          <w:marTop w:val="0"/>
          <w:marBottom w:val="0"/>
          <w:divBdr>
            <w:top w:val="none" w:sz="0" w:space="0" w:color="auto"/>
            <w:left w:val="none" w:sz="0" w:space="0" w:color="auto"/>
            <w:bottom w:val="none" w:sz="0" w:space="0" w:color="auto"/>
            <w:right w:val="none" w:sz="0" w:space="0" w:color="auto"/>
          </w:divBdr>
        </w:div>
        <w:div w:id="2103524354">
          <w:marLeft w:val="0"/>
          <w:marRight w:val="0"/>
          <w:marTop w:val="0"/>
          <w:marBottom w:val="0"/>
          <w:divBdr>
            <w:top w:val="none" w:sz="0" w:space="0" w:color="auto"/>
            <w:left w:val="none" w:sz="0" w:space="0" w:color="auto"/>
            <w:bottom w:val="none" w:sz="0" w:space="0" w:color="auto"/>
            <w:right w:val="none" w:sz="0" w:space="0" w:color="auto"/>
          </w:divBdr>
        </w:div>
        <w:div w:id="725376252">
          <w:marLeft w:val="0"/>
          <w:marRight w:val="0"/>
          <w:marTop w:val="0"/>
          <w:marBottom w:val="0"/>
          <w:divBdr>
            <w:top w:val="none" w:sz="0" w:space="0" w:color="auto"/>
            <w:left w:val="none" w:sz="0" w:space="0" w:color="auto"/>
            <w:bottom w:val="none" w:sz="0" w:space="0" w:color="auto"/>
            <w:right w:val="none" w:sz="0" w:space="0" w:color="auto"/>
          </w:divBdr>
        </w:div>
        <w:div w:id="1697997769">
          <w:marLeft w:val="0"/>
          <w:marRight w:val="0"/>
          <w:marTop w:val="0"/>
          <w:marBottom w:val="0"/>
          <w:divBdr>
            <w:top w:val="none" w:sz="0" w:space="0" w:color="auto"/>
            <w:left w:val="none" w:sz="0" w:space="0" w:color="auto"/>
            <w:bottom w:val="none" w:sz="0" w:space="0" w:color="auto"/>
            <w:right w:val="none" w:sz="0" w:space="0" w:color="auto"/>
          </w:divBdr>
        </w:div>
        <w:div w:id="920720666">
          <w:marLeft w:val="0"/>
          <w:marRight w:val="0"/>
          <w:marTop w:val="0"/>
          <w:marBottom w:val="0"/>
          <w:divBdr>
            <w:top w:val="none" w:sz="0" w:space="0" w:color="auto"/>
            <w:left w:val="none" w:sz="0" w:space="0" w:color="auto"/>
            <w:bottom w:val="none" w:sz="0" w:space="0" w:color="auto"/>
            <w:right w:val="none" w:sz="0" w:space="0" w:color="auto"/>
          </w:divBdr>
        </w:div>
        <w:div w:id="513113131">
          <w:marLeft w:val="0"/>
          <w:marRight w:val="0"/>
          <w:marTop w:val="0"/>
          <w:marBottom w:val="0"/>
          <w:divBdr>
            <w:top w:val="none" w:sz="0" w:space="0" w:color="auto"/>
            <w:left w:val="none" w:sz="0" w:space="0" w:color="auto"/>
            <w:bottom w:val="none" w:sz="0" w:space="0" w:color="auto"/>
            <w:right w:val="none" w:sz="0" w:space="0" w:color="auto"/>
          </w:divBdr>
        </w:div>
        <w:div w:id="865142691">
          <w:marLeft w:val="0"/>
          <w:marRight w:val="0"/>
          <w:marTop w:val="0"/>
          <w:marBottom w:val="0"/>
          <w:divBdr>
            <w:top w:val="none" w:sz="0" w:space="0" w:color="auto"/>
            <w:left w:val="none" w:sz="0" w:space="0" w:color="auto"/>
            <w:bottom w:val="none" w:sz="0" w:space="0" w:color="auto"/>
            <w:right w:val="none" w:sz="0" w:space="0" w:color="auto"/>
          </w:divBdr>
        </w:div>
        <w:div w:id="1958948510">
          <w:marLeft w:val="0"/>
          <w:marRight w:val="0"/>
          <w:marTop w:val="0"/>
          <w:marBottom w:val="0"/>
          <w:divBdr>
            <w:top w:val="none" w:sz="0" w:space="0" w:color="auto"/>
            <w:left w:val="none" w:sz="0" w:space="0" w:color="auto"/>
            <w:bottom w:val="none" w:sz="0" w:space="0" w:color="auto"/>
            <w:right w:val="none" w:sz="0" w:space="0" w:color="auto"/>
          </w:divBdr>
        </w:div>
        <w:div w:id="1846704514">
          <w:marLeft w:val="0"/>
          <w:marRight w:val="0"/>
          <w:marTop w:val="0"/>
          <w:marBottom w:val="0"/>
          <w:divBdr>
            <w:top w:val="none" w:sz="0" w:space="0" w:color="auto"/>
            <w:left w:val="none" w:sz="0" w:space="0" w:color="auto"/>
            <w:bottom w:val="none" w:sz="0" w:space="0" w:color="auto"/>
            <w:right w:val="none" w:sz="0" w:space="0" w:color="auto"/>
          </w:divBdr>
        </w:div>
        <w:div w:id="211969223">
          <w:marLeft w:val="0"/>
          <w:marRight w:val="0"/>
          <w:marTop w:val="0"/>
          <w:marBottom w:val="0"/>
          <w:divBdr>
            <w:top w:val="none" w:sz="0" w:space="0" w:color="auto"/>
            <w:left w:val="none" w:sz="0" w:space="0" w:color="auto"/>
            <w:bottom w:val="none" w:sz="0" w:space="0" w:color="auto"/>
            <w:right w:val="none" w:sz="0" w:space="0" w:color="auto"/>
          </w:divBdr>
        </w:div>
        <w:div w:id="1381855561">
          <w:marLeft w:val="0"/>
          <w:marRight w:val="0"/>
          <w:marTop w:val="0"/>
          <w:marBottom w:val="0"/>
          <w:divBdr>
            <w:top w:val="none" w:sz="0" w:space="0" w:color="auto"/>
            <w:left w:val="none" w:sz="0" w:space="0" w:color="auto"/>
            <w:bottom w:val="none" w:sz="0" w:space="0" w:color="auto"/>
            <w:right w:val="none" w:sz="0" w:space="0" w:color="auto"/>
          </w:divBdr>
        </w:div>
        <w:div w:id="924648513">
          <w:marLeft w:val="0"/>
          <w:marRight w:val="0"/>
          <w:marTop w:val="0"/>
          <w:marBottom w:val="0"/>
          <w:divBdr>
            <w:top w:val="none" w:sz="0" w:space="0" w:color="auto"/>
            <w:left w:val="none" w:sz="0" w:space="0" w:color="auto"/>
            <w:bottom w:val="none" w:sz="0" w:space="0" w:color="auto"/>
            <w:right w:val="none" w:sz="0" w:space="0" w:color="auto"/>
          </w:divBdr>
        </w:div>
        <w:div w:id="935867236">
          <w:marLeft w:val="0"/>
          <w:marRight w:val="0"/>
          <w:marTop w:val="0"/>
          <w:marBottom w:val="0"/>
          <w:divBdr>
            <w:top w:val="none" w:sz="0" w:space="0" w:color="auto"/>
            <w:left w:val="none" w:sz="0" w:space="0" w:color="auto"/>
            <w:bottom w:val="none" w:sz="0" w:space="0" w:color="auto"/>
            <w:right w:val="none" w:sz="0" w:space="0" w:color="auto"/>
          </w:divBdr>
        </w:div>
        <w:div w:id="675958977">
          <w:marLeft w:val="0"/>
          <w:marRight w:val="0"/>
          <w:marTop w:val="0"/>
          <w:marBottom w:val="0"/>
          <w:divBdr>
            <w:top w:val="none" w:sz="0" w:space="0" w:color="auto"/>
            <w:left w:val="none" w:sz="0" w:space="0" w:color="auto"/>
            <w:bottom w:val="none" w:sz="0" w:space="0" w:color="auto"/>
            <w:right w:val="none" w:sz="0" w:space="0" w:color="auto"/>
          </w:divBdr>
        </w:div>
        <w:div w:id="78180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83" TargetMode="External"/><Relationship Id="rId13" Type="http://schemas.openxmlformats.org/officeDocument/2006/relationships/hyperlink" Target="https://www.ceta.org.co/html/vista_de_un_articulo.asp?Norma=921" TargetMode="External"/><Relationship Id="rId18" Type="http://schemas.openxmlformats.org/officeDocument/2006/relationships/hyperlink" Target="https://www.ceta.org.co/html/vista_de_un_articulo.asp?Norma=950" TargetMode="External"/><Relationship Id="rId26" Type="http://schemas.openxmlformats.org/officeDocument/2006/relationships/hyperlink" Target="https://www.ceta.org.co/html/vista_de_un_articulo.asp?Norma=877"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43" TargetMode="External"/><Relationship Id="rId34" Type="http://schemas.openxmlformats.org/officeDocument/2006/relationships/hyperlink" Target="https://www.ceta.org.co/html/vista_de_un_articulo.asp?Norma=943" TargetMode="External"/><Relationship Id="rId7" Type="http://schemas.openxmlformats.org/officeDocument/2006/relationships/hyperlink" Target="https://www.ceta.org.co/html/vista_de_un_articulo.asp?Norma=878" TargetMode="External"/><Relationship Id="rId12" Type="http://schemas.openxmlformats.org/officeDocument/2006/relationships/hyperlink" Target="https://www.ceta.org.co/html/vista_de_un_articulo.asp?Norma=920" TargetMode="External"/><Relationship Id="rId17" Type="http://schemas.openxmlformats.org/officeDocument/2006/relationships/hyperlink" Target="https://www.ceta.org.co/html/vista_de_un_articulo.asp?Norma=943" TargetMode="External"/><Relationship Id="rId25" Type="http://schemas.openxmlformats.org/officeDocument/2006/relationships/hyperlink" Target="https://www.ceta.org.co/html/vista_de_un_articulo.asp?Norma=887" TargetMode="External"/><Relationship Id="rId33" Type="http://schemas.openxmlformats.org/officeDocument/2006/relationships/hyperlink" Target="https://www.ceta.org.co/html/vista_de_un_articulo.asp?Norma=94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938" TargetMode="External"/><Relationship Id="rId20" Type="http://schemas.openxmlformats.org/officeDocument/2006/relationships/hyperlink" Target="https://www.ceta.org.co/html/vista_de_un_articulo.asp?Norma=864" TargetMode="External"/><Relationship Id="rId29" Type="http://schemas.openxmlformats.org/officeDocument/2006/relationships/hyperlink" Target="https://www.ceta.org.co/html/vista_de_un_articulo.asp?Norma=943" TargetMode="External"/><Relationship Id="rId1" Type="http://schemas.openxmlformats.org/officeDocument/2006/relationships/styles" Target="styles.xml"/><Relationship Id="rId6" Type="http://schemas.openxmlformats.org/officeDocument/2006/relationships/hyperlink" Target="https://www.ceta.org.co/html/vista_de_un_articulo.asp?Norma=864" TargetMode="External"/><Relationship Id="rId11" Type="http://schemas.openxmlformats.org/officeDocument/2006/relationships/hyperlink" Target="https://www.ceta.org.co/html/vista_de_un_articulo.asp?Norma=919" TargetMode="External"/><Relationship Id="rId24" Type="http://schemas.openxmlformats.org/officeDocument/2006/relationships/hyperlink" Target="https://www.ceta.org.co/html/vista_de_un_articulo.asp?Norma=883" TargetMode="External"/><Relationship Id="rId32" Type="http://schemas.openxmlformats.org/officeDocument/2006/relationships/hyperlink" Target="https://www.ceta.org.co/html/vista_de_un_articulo.asp?Norma=943" TargetMode="External"/><Relationship Id="rId37" Type="http://schemas.openxmlformats.org/officeDocument/2006/relationships/fontTable" Target="fontTable.xml"/><Relationship Id="rId5" Type="http://schemas.openxmlformats.org/officeDocument/2006/relationships/hyperlink" Target="https://www.ceta.org.co/html/vista_de_un_articulo.asp?Norma=850" TargetMode="External"/><Relationship Id="rId15" Type="http://schemas.openxmlformats.org/officeDocument/2006/relationships/hyperlink" Target="https://www.ceta.org.co/html/vista_de_un_articulo.asp?Norma=929" TargetMode="External"/><Relationship Id="rId23" Type="http://schemas.openxmlformats.org/officeDocument/2006/relationships/hyperlink" Target="https://www.ceta.org.co/html/vista_de_un_articulo.asp?Norma=864" TargetMode="External"/><Relationship Id="rId28" Type="http://schemas.openxmlformats.org/officeDocument/2006/relationships/hyperlink" Target="https://www.ceta.org.co/html/vista_de_un_articulo.asp?Norma=943" TargetMode="External"/><Relationship Id="rId36" Type="http://schemas.openxmlformats.org/officeDocument/2006/relationships/hyperlink" Target="https://www.ceta.org.co/html/vista_de_un_articulo.asp?Norma=943" TargetMode="External"/><Relationship Id="rId10" Type="http://schemas.openxmlformats.org/officeDocument/2006/relationships/hyperlink" Target="https://www.ceta.org.co/html/vista_de_un_articulo.asp?Norma=888" TargetMode="External"/><Relationship Id="rId19" Type="http://schemas.openxmlformats.org/officeDocument/2006/relationships/hyperlink" Target="https://www.ceta.org.co/html/vista_de_un_articulo.asp?Norma=953" TargetMode="External"/><Relationship Id="rId31" Type="http://schemas.openxmlformats.org/officeDocument/2006/relationships/hyperlink" Target="https://www.ceta.org.co/html/vista_de_un_articulo.asp?Norma=943" TargetMode="External"/><Relationship Id="rId4" Type="http://schemas.openxmlformats.org/officeDocument/2006/relationships/hyperlink" Target="https://www.ceta.org.co/html/vista_de_un_articulo.asp?Norma=725" TargetMode="External"/><Relationship Id="rId9" Type="http://schemas.openxmlformats.org/officeDocument/2006/relationships/hyperlink" Target="https://www.ceta.org.co/html/vista_de_un_articulo.asp?Norma=887" TargetMode="External"/><Relationship Id="rId14" Type="http://schemas.openxmlformats.org/officeDocument/2006/relationships/hyperlink" Target="https://www.ceta.org.co/html/vista_de_un_articulo.asp?Norma=923" TargetMode="External"/><Relationship Id="rId22" Type="http://schemas.openxmlformats.org/officeDocument/2006/relationships/hyperlink" Target="https://www.ceta.org.co/html/vista_de_un_articulo.asp?Norma=864" TargetMode="External"/><Relationship Id="rId27" Type="http://schemas.openxmlformats.org/officeDocument/2006/relationships/hyperlink" Target="https://www.ceta.org.co/html/vista_de_un_articulo.asp?Norma=888" TargetMode="External"/><Relationship Id="rId30" Type="http://schemas.openxmlformats.org/officeDocument/2006/relationships/hyperlink" Target="https://www.ceta.org.co/html/vista_de_un_articulo.asp?Norma=943" TargetMode="External"/><Relationship Id="rId35" Type="http://schemas.openxmlformats.org/officeDocument/2006/relationships/hyperlink" Target="https://www.ceta.org.co/html/vista_de_un_articulo.asp?Norma=9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9825</Words>
  <Characters>54040</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2019-05-26T17:33:00Z</dcterms:created>
  <dcterms:modified xsi:type="dcterms:W3CDTF">2019-05-26T17:38:00Z</dcterms:modified>
</cp:coreProperties>
</file>