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10770" w14:textId="77777777" w:rsidR="00463CE2" w:rsidRPr="00CD36DB" w:rsidRDefault="00463CE2">
      <w:pPr>
        <w:rPr>
          <w:rFonts w:ascii="Times New Roman" w:eastAsia="Times New Roman" w:hAnsi="Times New Roman" w:cs="Times New Roman"/>
          <w:sz w:val="24"/>
          <w:szCs w:val="24"/>
        </w:rPr>
      </w:pPr>
    </w:p>
    <w:p w14:paraId="4027280F" w14:textId="77777777" w:rsidR="00463CE2" w:rsidRPr="00CD36DB" w:rsidRDefault="00463CE2">
      <w:pPr>
        <w:rPr>
          <w:rFonts w:ascii="Times New Roman" w:eastAsia="Times New Roman" w:hAnsi="Times New Roman" w:cs="Times New Roman"/>
          <w:sz w:val="24"/>
          <w:szCs w:val="24"/>
        </w:rPr>
      </w:pPr>
    </w:p>
    <w:p w14:paraId="39388F28" w14:textId="77777777" w:rsidR="00463CE2" w:rsidRPr="00CD36DB" w:rsidRDefault="00463CE2">
      <w:pPr>
        <w:rPr>
          <w:rFonts w:ascii="Times New Roman" w:eastAsia="Times New Roman" w:hAnsi="Times New Roman" w:cs="Times New Roman"/>
          <w:sz w:val="24"/>
          <w:szCs w:val="24"/>
        </w:rPr>
      </w:pPr>
    </w:p>
    <w:p w14:paraId="49D8C4DA" w14:textId="77777777" w:rsidR="00463CE2" w:rsidRPr="00CD36DB" w:rsidRDefault="00463CE2">
      <w:pPr>
        <w:spacing w:before="11"/>
        <w:rPr>
          <w:rFonts w:ascii="Times New Roman" w:eastAsia="Times New Roman" w:hAnsi="Times New Roman" w:cs="Times New Roman"/>
          <w:sz w:val="24"/>
          <w:szCs w:val="24"/>
        </w:rPr>
      </w:pPr>
    </w:p>
    <w:p w14:paraId="1C04B870" w14:textId="77777777" w:rsidR="00463CE2" w:rsidRPr="00CD36DB" w:rsidRDefault="00245737">
      <w:pPr>
        <w:pStyle w:val="Ttulo1"/>
        <w:spacing w:before="69"/>
        <w:ind w:left="1481" w:right="1138"/>
        <w:jc w:val="center"/>
        <w:rPr>
          <w:rFonts w:ascii="Times New Roman" w:hAnsi="Times New Roman" w:cs="Times New Roman"/>
          <w:b w:val="0"/>
          <w:bCs w:val="0"/>
        </w:rPr>
      </w:pPr>
      <w:r w:rsidRPr="00CD36DB">
        <w:rPr>
          <w:rFonts w:ascii="Times New Roman" w:hAnsi="Times New Roman" w:cs="Times New Roman"/>
          <w:lang w:val="es"/>
        </w:rPr>
        <w:t>CONSEJO DE ESTADO</w:t>
      </w:r>
    </w:p>
    <w:p w14:paraId="7C2460F9" w14:textId="77777777" w:rsidR="00463CE2" w:rsidRPr="00CD36DB" w:rsidRDefault="00245737">
      <w:pPr>
        <w:ind w:left="1482" w:right="1137"/>
        <w:jc w:val="center"/>
        <w:rPr>
          <w:rFonts w:ascii="Times New Roman" w:eastAsia="Arial" w:hAnsi="Times New Roman" w:cs="Times New Roman"/>
          <w:sz w:val="24"/>
          <w:szCs w:val="24"/>
        </w:rPr>
      </w:pPr>
      <w:r w:rsidRPr="00CD36DB">
        <w:rPr>
          <w:rFonts w:ascii="Times New Roman" w:hAnsi="Times New Roman" w:cs="Times New Roman"/>
          <w:b/>
          <w:sz w:val="24"/>
          <w:szCs w:val="24"/>
          <w:lang w:val="es"/>
        </w:rPr>
        <w:t>SALA DE LO CONTENCIOSO ADMINISTRATIVO SECCIÓN CUARTA</w:t>
      </w:r>
    </w:p>
    <w:p w14:paraId="1AA92AD1" w14:textId="77777777" w:rsidR="00463CE2" w:rsidRPr="00CD36DB" w:rsidRDefault="00463CE2">
      <w:pPr>
        <w:rPr>
          <w:rFonts w:ascii="Times New Roman" w:eastAsia="Arial" w:hAnsi="Times New Roman" w:cs="Times New Roman"/>
          <w:b/>
          <w:bCs/>
          <w:sz w:val="24"/>
          <w:szCs w:val="24"/>
        </w:rPr>
      </w:pPr>
    </w:p>
    <w:p w14:paraId="66DC5F3A" w14:textId="77777777" w:rsidR="00463CE2" w:rsidRPr="00CD36DB" w:rsidRDefault="00463CE2">
      <w:pPr>
        <w:rPr>
          <w:rFonts w:ascii="Times New Roman" w:eastAsia="Arial" w:hAnsi="Times New Roman" w:cs="Times New Roman"/>
          <w:b/>
          <w:bCs/>
          <w:sz w:val="24"/>
          <w:szCs w:val="24"/>
        </w:rPr>
      </w:pPr>
    </w:p>
    <w:p w14:paraId="2F3E22F7" w14:textId="77777777" w:rsidR="00463CE2" w:rsidRPr="00CD36DB" w:rsidRDefault="00245737">
      <w:pPr>
        <w:ind w:left="1188" w:right="845"/>
        <w:jc w:val="center"/>
        <w:rPr>
          <w:rFonts w:ascii="Times New Roman" w:eastAsia="Arial" w:hAnsi="Times New Roman" w:cs="Times New Roman"/>
          <w:sz w:val="24"/>
          <w:szCs w:val="24"/>
        </w:rPr>
      </w:pPr>
      <w:r w:rsidRPr="00CD36DB">
        <w:rPr>
          <w:rFonts w:ascii="Times New Roman" w:hAnsi="Times New Roman" w:cs="Times New Roman"/>
          <w:b/>
          <w:sz w:val="24"/>
          <w:szCs w:val="24"/>
          <w:lang w:val="es"/>
        </w:rPr>
        <w:t>CONSEJERO PONENTE</w:t>
      </w:r>
      <w:r w:rsidRPr="00CD36DB">
        <w:rPr>
          <w:rFonts w:ascii="Times New Roman" w:hAnsi="Times New Roman" w:cs="Times New Roman"/>
          <w:sz w:val="24"/>
          <w:szCs w:val="24"/>
          <w:lang w:val="es"/>
        </w:rPr>
        <w:t xml:space="preserve">: </w:t>
      </w:r>
      <w:r w:rsidRPr="00CD36DB">
        <w:rPr>
          <w:rFonts w:ascii="Times New Roman" w:hAnsi="Times New Roman" w:cs="Times New Roman"/>
          <w:b/>
          <w:sz w:val="24"/>
          <w:szCs w:val="24"/>
          <w:lang w:val="es"/>
        </w:rPr>
        <w:t>JULIO ROBERTO PIZA RODRÍGUEZ</w:t>
      </w:r>
    </w:p>
    <w:p w14:paraId="7DD030F9" w14:textId="77777777" w:rsidR="00463CE2" w:rsidRPr="00CD36DB" w:rsidRDefault="00463CE2">
      <w:pPr>
        <w:rPr>
          <w:rFonts w:ascii="Times New Roman" w:eastAsia="Arial" w:hAnsi="Times New Roman" w:cs="Times New Roman"/>
          <w:b/>
          <w:bCs/>
          <w:sz w:val="24"/>
          <w:szCs w:val="24"/>
        </w:rPr>
      </w:pPr>
    </w:p>
    <w:p w14:paraId="36F3B918" w14:textId="77777777" w:rsidR="00463CE2" w:rsidRPr="00CD36DB" w:rsidRDefault="00463CE2">
      <w:pPr>
        <w:rPr>
          <w:rFonts w:ascii="Times New Roman" w:eastAsia="Arial" w:hAnsi="Times New Roman" w:cs="Times New Roman"/>
          <w:b/>
          <w:bCs/>
          <w:sz w:val="24"/>
          <w:szCs w:val="24"/>
        </w:rPr>
      </w:pPr>
    </w:p>
    <w:p w14:paraId="3F109247" w14:textId="77777777" w:rsidR="00463CE2" w:rsidRPr="00CD36DB" w:rsidRDefault="00245737">
      <w:pPr>
        <w:pStyle w:val="Textoindependiente"/>
        <w:ind w:left="1188" w:right="844"/>
        <w:jc w:val="center"/>
        <w:rPr>
          <w:rFonts w:ascii="Times New Roman" w:hAnsi="Times New Roman" w:cs="Times New Roman"/>
        </w:rPr>
      </w:pPr>
      <w:r w:rsidRPr="00CD36DB">
        <w:rPr>
          <w:rFonts w:ascii="Times New Roman" w:hAnsi="Times New Roman" w:cs="Times New Roman"/>
          <w:lang w:val="es"/>
        </w:rPr>
        <w:t>Bogotá, D. C., once (11) de julio de dos mil diecinueve (2019)</w:t>
      </w:r>
    </w:p>
    <w:p w14:paraId="79C88F59" w14:textId="77777777" w:rsidR="00463CE2" w:rsidRPr="00CD36DB" w:rsidRDefault="00463CE2">
      <w:pPr>
        <w:rPr>
          <w:rFonts w:ascii="Times New Roman" w:eastAsia="Arial" w:hAnsi="Times New Roman" w:cs="Times New Roman"/>
          <w:sz w:val="24"/>
          <w:szCs w:val="24"/>
        </w:rPr>
      </w:pPr>
    </w:p>
    <w:p w14:paraId="1E303635" w14:textId="77777777" w:rsidR="00463CE2" w:rsidRPr="00CD36DB" w:rsidRDefault="00463CE2">
      <w:pPr>
        <w:rPr>
          <w:rFonts w:ascii="Times New Roman" w:eastAsia="Arial" w:hAnsi="Times New Roman" w:cs="Times New Roman"/>
          <w:sz w:val="24"/>
          <w:szCs w:val="24"/>
        </w:rPr>
      </w:pPr>
    </w:p>
    <w:p w14:paraId="3A9C3FE2" w14:textId="77777777" w:rsidR="00463CE2" w:rsidRPr="00CD36DB" w:rsidRDefault="00245737">
      <w:pPr>
        <w:tabs>
          <w:tab w:val="left" w:pos="2816"/>
        </w:tabs>
        <w:ind w:left="548" w:right="203"/>
        <w:rPr>
          <w:rFonts w:ascii="Times New Roman" w:eastAsia="Arial" w:hAnsi="Times New Roman" w:cs="Times New Roman"/>
          <w:sz w:val="24"/>
          <w:szCs w:val="24"/>
        </w:rPr>
      </w:pPr>
      <w:r w:rsidRPr="00CD36DB">
        <w:rPr>
          <w:rFonts w:ascii="Times New Roman" w:hAnsi="Times New Roman" w:cs="Times New Roman"/>
          <w:b/>
          <w:spacing w:val="-1"/>
          <w:sz w:val="24"/>
          <w:szCs w:val="24"/>
          <w:lang w:val="es"/>
        </w:rPr>
        <w:t>Referencia:</w:t>
      </w:r>
      <w:r w:rsidRPr="00CD36DB">
        <w:rPr>
          <w:rFonts w:ascii="Times New Roman" w:hAnsi="Times New Roman" w:cs="Times New Roman"/>
          <w:b/>
          <w:spacing w:val="-1"/>
          <w:sz w:val="24"/>
          <w:szCs w:val="24"/>
          <w:lang w:val="es"/>
        </w:rPr>
        <w:tab/>
      </w:r>
      <w:r w:rsidRPr="00CD36DB">
        <w:rPr>
          <w:rFonts w:ascii="Times New Roman" w:hAnsi="Times New Roman" w:cs="Times New Roman"/>
          <w:spacing w:val="-1"/>
          <w:sz w:val="24"/>
          <w:szCs w:val="24"/>
          <w:lang w:val="es"/>
        </w:rPr>
        <w:t>NULIDAD</w:t>
      </w:r>
      <w:r w:rsidRPr="00CD36DB">
        <w:rPr>
          <w:rFonts w:ascii="Times New Roman" w:hAnsi="Times New Roman" w:cs="Times New Roman"/>
          <w:sz w:val="24"/>
          <w:szCs w:val="24"/>
          <w:lang w:val="es"/>
        </w:rPr>
        <w:t xml:space="preserve"> Y </w:t>
      </w:r>
      <w:r w:rsidRPr="00CD36DB">
        <w:rPr>
          <w:rFonts w:ascii="Times New Roman" w:hAnsi="Times New Roman" w:cs="Times New Roman"/>
          <w:spacing w:val="-1"/>
          <w:sz w:val="24"/>
          <w:szCs w:val="24"/>
          <w:lang w:val="es"/>
        </w:rPr>
        <w:t>RESTABLECIMIENTO DEL DERECHO</w:t>
      </w:r>
    </w:p>
    <w:p w14:paraId="174B9686" w14:textId="77777777" w:rsidR="00463CE2" w:rsidRPr="00CD36DB" w:rsidRDefault="00245737">
      <w:pPr>
        <w:tabs>
          <w:tab w:val="left" w:pos="2816"/>
        </w:tabs>
        <w:ind w:left="548" w:right="203"/>
        <w:rPr>
          <w:rFonts w:ascii="Times New Roman" w:eastAsia="Arial" w:hAnsi="Times New Roman" w:cs="Times New Roman"/>
          <w:sz w:val="24"/>
          <w:szCs w:val="24"/>
        </w:rPr>
      </w:pPr>
      <w:r w:rsidRPr="00CD36DB">
        <w:rPr>
          <w:rFonts w:ascii="Times New Roman" w:hAnsi="Times New Roman" w:cs="Times New Roman"/>
          <w:b/>
          <w:spacing w:val="-1"/>
          <w:sz w:val="24"/>
          <w:szCs w:val="24"/>
          <w:lang w:val="es"/>
        </w:rPr>
        <w:t>Radicación:</w:t>
      </w:r>
      <w:r w:rsidRPr="00CD36DB">
        <w:rPr>
          <w:rFonts w:ascii="Times New Roman" w:hAnsi="Times New Roman" w:cs="Times New Roman"/>
          <w:b/>
          <w:spacing w:val="-1"/>
          <w:sz w:val="24"/>
          <w:szCs w:val="24"/>
          <w:lang w:val="es"/>
        </w:rPr>
        <w:tab/>
      </w:r>
      <w:r w:rsidRPr="00CD36DB">
        <w:rPr>
          <w:rFonts w:ascii="Times New Roman" w:hAnsi="Times New Roman" w:cs="Times New Roman"/>
          <w:spacing w:val="-1"/>
          <w:sz w:val="24"/>
          <w:szCs w:val="24"/>
          <w:lang w:val="es"/>
        </w:rPr>
        <w:t>25000-23-37-000-2014-0924-01 (23205)</w:t>
      </w:r>
    </w:p>
    <w:p w14:paraId="49DA48DA" w14:textId="77777777" w:rsidR="00463CE2" w:rsidRPr="00CD36DB" w:rsidRDefault="00245737">
      <w:pPr>
        <w:tabs>
          <w:tab w:val="left" w:pos="2816"/>
        </w:tabs>
        <w:ind w:left="548" w:right="203"/>
        <w:rPr>
          <w:rFonts w:ascii="Times New Roman" w:eastAsia="Arial" w:hAnsi="Times New Roman" w:cs="Times New Roman"/>
          <w:sz w:val="24"/>
          <w:szCs w:val="24"/>
        </w:rPr>
      </w:pPr>
      <w:r w:rsidRPr="00CD36DB">
        <w:rPr>
          <w:rFonts w:ascii="Times New Roman" w:hAnsi="Times New Roman" w:cs="Times New Roman"/>
          <w:b/>
          <w:spacing w:val="-1"/>
          <w:sz w:val="24"/>
          <w:szCs w:val="24"/>
          <w:lang w:val="es"/>
        </w:rPr>
        <w:t>Demandante:</w:t>
      </w:r>
      <w:r w:rsidRPr="00CD36DB">
        <w:rPr>
          <w:rFonts w:ascii="Times New Roman" w:hAnsi="Times New Roman" w:cs="Times New Roman"/>
          <w:b/>
          <w:spacing w:val="-1"/>
          <w:sz w:val="24"/>
          <w:szCs w:val="24"/>
          <w:lang w:val="es"/>
        </w:rPr>
        <w:tab/>
      </w:r>
      <w:r w:rsidRPr="00CD36DB">
        <w:rPr>
          <w:rFonts w:ascii="Times New Roman" w:hAnsi="Times New Roman" w:cs="Times New Roman"/>
          <w:spacing w:val="-1"/>
          <w:sz w:val="24"/>
          <w:szCs w:val="24"/>
          <w:lang w:val="es"/>
        </w:rPr>
        <w:t>OPTION</w:t>
      </w:r>
      <w:r w:rsidRPr="00CD36DB">
        <w:rPr>
          <w:rFonts w:ascii="Times New Roman" w:hAnsi="Times New Roman" w:cs="Times New Roman"/>
          <w:sz w:val="24"/>
          <w:szCs w:val="24"/>
          <w:lang w:val="es"/>
        </w:rPr>
        <w:t xml:space="preserve"> S. A.</w:t>
      </w:r>
    </w:p>
    <w:p w14:paraId="5629B98C" w14:textId="77777777" w:rsidR="00463CE2" w:rsidRPr="00CD36DB" w:rsidRDefault="00245737">
      <w:pPr>
        <w:tabs>
          <w:tab w:val="left" w:pos="2816"/>
        </w:tabs>
        <w:ind w:left="548" w:right="203"/>
        <w:rPr>
          <w:rFonts w:ascii="Times New Roman" w:eastAsia="Arial" w:hAnsi="Times New Roman" w:cs="Times New Roman"/>
          <w:sz w:val="24"/>
          <w:szCs w:val="24"/>
        </w:rPr>
      </w:pPr>
      <w:r w:rsidRPr="00CD36DB">
        <w:rPr>
          <w:rFonts w:ascii="Times New Roman" w:hAnsi="Times New Roman" w:cs="Times New Roman"/>
          <w:b/>
          <w:sz w:val="24"/>
          <w:szCs w:val="24"/>
          <w:lang w:val="es"/>
        </w:rPr>
        <w:t>Demandado:</w:t>
      </w:r>
      <w:r w:rsidRPr="00CD36DB">
        <w:rPr>
          <w:rFonts w:ascii="Times New Roman" w:hAnsi="Times New Roman" w:cs="Times New Roman"/>
          <w:b/>
          <w:sz w:val="24"/>
          <w:szCs w:val="24"/>
          <w:lang w:val="es"/>
        </w:rPr>
        <w:tab/>
      </w:r>
      <w:r w:rsidRPr="00CD36DB">
        <w:rPr>
          <w:rFonts w:ascii="Times New Roman" w:hAnsi="Times New Roman" w:cs="Times New Roman"/>
          <w:sz w:val="24"/>
          <w:szCs w:val="24"/>
          <w:lang w:val="es"/>
        </w:rPr>
        <w:t>SECRETARIA DE HACIENDA DISTRITAL</w:t>
      </w:r>
    </w:p>
    <w:p w14:paraId="19C00E59" w14:textId="77777777" w:rsidR="00463CE2" w:rsidRPr="00CD36DB" w:rsidRDefault="00463CE2">
      <w:pPr>
        <w:rPr>
          <w:rFonts w:ascii="Times New Roman" w:eastAsia="Arial" w:hAnsi="Times New Roman" w:cs="Times New Roman"/>
          <w:sz w:val="24"/>
          <w:szCs w:val="24"/>
        </w:rPr>
      </w:pPr>
    </w:p>
    <w:p w14:paraId="77F321AE" w14:textId="77777777" w:rsidR="00463CE2" w:rsidRPr="00CD36DB" w:rsidRDefault="00245737">
      <w:pPr>
        <w:tabs>
          <w:tab w:val="left" w:pos="2816"/>
        </w:tabs>
        <w:ind w:left="2817" w:right="203" w:hanging="2269"/>
        <w:rPr>
          <w:rFonts w:ascii="Times New Roman" w:eastAsia="Arial" w:hAnsi="Times New Roman" w:cs="Times New Roman"/>
          <w:sz w:val="24"/>
          <w:szCs w:val="24"/>
        </w:rPr>
      </w:pPr>
      <w:r w:rsidRPr="00CD36DB">
        <w:rPr>
          <w:rFonts w:ascii="Times New Roman" w:hAnsi="Times New Roman" w:cs="Times New Roman"/>
          <w:b/>
          <w:sz w:val="24"/>
          <w:szCs w:val="24"/>
          <w:lang w:val="es"/>
        </w:rPr>
        <w:t>Tema:</w:t>
      </w:r>
      <w:r w:rsidRPr="00CD36DB">
        <w:rPr>
          <w:rFonts w:ascii="Times New Roman" w:hAnsi="Times New Roman" w:cs="Times New Roman"/>
          <w:b/>
          <w:sz w:val="24"/>
          <w:szCs w:val="24"/>
          <w:lang w:val="es"/>
        </w:rPr>
        <w:tab/>
      </w:r>
      <w:r w:rsidRPr="00CD36DB">
        <w:rPr>
          <w:rFonts w:ascii="Times New Roman" w:hAnsi="Times New Roman" w:cs="Times New Roman"/>
          <w:sz w:val="24"/>
          <w:szCs w:val="24"/>
          <w:lang w:val="es"/>
        </w:rPr>
        <w:t>IMPUESTO DE INDUSTRIA Y COMERCIO.  ASPECTO TERRITORIAL ACTIVIDAD DE COMERCIALIZACIÓN.</w:t>
      </w:r>
    </w:p>
    <w:p w14:paraId="455FF6A3" w14:textId="77777777" w:rsidR="00463CE2" w:rsidRPr="00CD36DB" w:rsidRDefault="00463CE2">
      <w:pPr>
        <w:rPr>
          <w:rFonts w:ascii="Times New Roman" w:eastAsia="Arial" w:hAnsi="Times New Roman" w:cs="Times New Roman"/>
          <w:sz w:val="24"/>
          <w:szCs w:val="24"/>
        </w:rPr>
      </w:pPr>
    </w:p>
    <w:p w14:paraId="0D85B0BF" w14:textId="77777777" w:rsidR="00463CE2" w:rsidRPr="00CD36DB" w:rsidRDefault="00463CE2">
      <w:pPr>
        <w:rPr>
          <w:rFonts w:ascii="Times New Roman" w:eastAsia="Arial" w:hAnsi="Times New Roman" w:cs="Times New Roman"/>
          <w:sz w:val="24"/>
          <w:szCs w:val="24"/>
        </w:rPr>
      </w:pPr>
    </w:p>
    <w:p w14:paraId="5CDA4795" w14:textId="77777777" w:rsidR="00463CE2" w:rsidRPr="00CD36DB" w:rsidRDefault="00245737">
      <w:pPr>
        <w:pStyle w:val="Ttulo1"/>
        <w:tabs>
          <w:tab w:val="left" w:pos="8912"/>
        </w:tabs>
        <w:rPr>
          <w:rFonts w:ascii="Times New Roman" w:hAnsi="Times New Roman" w:cs="Times New Roman"/>
          <w:b w:val="0"/>
          <w:bCs w:val="0"/>
        </w:rPr>
      </w:pPr>
      <w:r w:rsidRPr="00CD36DB">
        <w:rPr>
          <w:rFonts w:ascii="Times New Roman" w:hAnsi="Times New Roman" w:cs="Times New Roman"/>
          <w:u w:val="thick" w:color="000000"/>
          <w:lang w:val="es"/>
        </w:rPr>
        <w:t xml:space="preserve">SENTENCIA DE SEGUNDA INSTANCIA </w:t>
      </w:r>
      <w:r w:rsidRPr="00CD36DB">
        <w:rPr>
          <w:rFonts w:ascii="Times New Roman" w:hAnsi="Times New Roman" w:cs="Times New Roman"/>
          <w:u w:val="thick" w:color="000000"/>
          <w:lang w:val="es"/>
        </w:rPr>
        <w:tab/>
      </w:r>
    </w:p>
    <w:p w14:paraId="3CF901CF" w14:textId="77777777" w:rsidR="00463CE2" w:rsidRPr="00CD36DB" w:rsidRDefault="00463CE2">
      <w:pPr>
        <w:spacing w:before="8"/>
        <w:rPr>
          <w:rFonts w:ascii="Times New Roman" w:eastAsia="Arial" w:hAnsi="Times New Roman" w:cs="Times New Roman"/>
          <w:b/>
          <w:bCs/>
          <w:sz w:val="24"/>
          <w:szCs w:val="24"/>
        </w:rPr>
      </w:pPr>
    </w:p>
    <w:p w14:paraId="37C74482" w14:textId="77777777" w:rsidR="00463CE2" w:rsidRPr="00CD36DB" w:rsidRDefault="00245737">
      <w:pPr>
        <w:pStyle w:val="Textoindependiente"/>
        <w:spacing w:before="69"/>
        <w:ind w:right="200"/>
        <w:jc w:val="both"/>
        <w:rPr>
          <w:rFonts w:ascii="Times New Roman" w:hAnsi="Times New Roman" w:cs="Times New Roman"/>
        </w:rPr>
      </w:pPr>
      <w:r w:rsidRPr="00CD36DB">
        <w:rPr>
          <w:rFonts w:ascii="Times New Roman" w:hAnsi="Times New Roman" w:cs="Times New Roman"/>
          <w:lang w:val="es"/>
        </w:rPr>
        <w:t>La Sala decide el recurso de apelación interpuesto por la parte demandada contra la sentencia del 06 de abril de 2017, proferida por el Tribunal Administrativo de Cundinamarca- Sección Cuarta Subsección B (</w:t>
      </w:r>
      <w:proofErr w:type="spellStart"/>
      <w:r w:rsidRPr="00CD36DB">
        <w:rPr>
          <w:rFonts w:ascii="Times New Roman" w:hAnsi="Times New Roman" w:cs="Times New Roman"/>
          <w:lang w:val="es"/>
        </w:rPr>
        <w:t>ff</w:t>
      </w:r>
      <w:proofErr w:type="spellEnd"/>
      <w:r w:rsidRPr="00CD36DB">
        <w:rPr>
          <w:rFonts w:ascii="Times New Roman" w:hAnsi="Times New Roman" w:cs="Times New Roman"/>
          <w:lang w:val="es"/>
        </w:rPr>
        <w:t>.  477 a 504), que accedió a las pretensiones de la demanda.</w:t>
      </w:r>
    </w:p>
    <w:p w14:paraId="729BEEB0" w14:textId="77777777" w:rsidR="00463CE2" w:rsidRPr="00CD36DB" w:rsidRDefault="00463CE2">
      <w:pPr>
        <w:rPr>
          <w:rFonts w:ascii="Times New Roman" w:eastAsia="Arial" w:hAnsi="Times New Roman" w:cs="Times New Roman"/>
          <w:sz w:val="24"/>
          <w:szCs w:val="24"/>
        </w:rPr>
      </w:pPr>
    </w:p>
    <w:p w14:paraId="6320D05E" w14:textId="77777777" w:rsidR="00463CE2" w:rsidRPr="00CD36DB" w:rsidRDefault="00463CE2">
      <w:pPr>
        <w:rPr>
          <w:rFonts w:ascii="Times New Roman" w:eastAsia="Arial" w:hAnsi="Times New Roman" w:cs="Times New Roman"/>
          <w:sz w:val="24"/>
          <w:szCs w:val="24"/>
        </w:rPr>
      </w:pPr>
    </w:p>
    <w:p w14:paraId="7CE69EDB" w14:textId="77777777" w:rsidR="00463CE2" w:rsidRPr="00CD36DB" w:rsidRDefault="00245737">
      <w:pPr>
        <w:pStyle w:val="Ttulo1"/>
        <w:ind w:left="1482" w:right="1138"/>
        <w:jc w:val="center"/>
        <w:rPr>
          <w:rFonts w:ascii="Times New Roman" w:hAnsi="Times New Roman" w:cs="Times New Roman"/>
          <w:b w:val="0"/>
          <w:bCs w:val="0"/>
        </w:rPr>
      </w:pPr>
      <w:r w:rsidRPr="00CD36DB">
        <w:rPr>
          <w:rFonts w:ascii="Times New Roman" w:hAnsi="Times New Roman" w:cs="Times New Roman"/>
          <w:lang w:val="es"/>
        </w:rPr>
        <w:t>ANTECEDENTES DE LA ACTUACIÓN ADMINISTRATIVA</w:t>
      </w:r>
    </w:p>
    <w:p w14:paraId="3669294D" w14:textId="77777777" w:rsidR="00463CE2" w:rsidRPr="00CD36DB" w:rsidRDefault="00463CE2">
      <w:pPr>
        <w:rPr>
          <w:rFonts w:ascii="Times New Roman" w:eastAsia="Arial" w:hAnsi="Times New Roman" w:cs="Times New Roman"/>
          <w:b/>
          <w:bCs/>
          <w:sz w:val="24"/>
          <w:szCs w:val="24"/>
        </w:rPr>
      </w:pPr>
    </w:p>
    <w:p w14:paraId="7B623E9E" w14:textId="77777777" w:rsidR="00463CE2" w:rsidRPr="00CD36DB" w:rsidRDefault="00463CE2">
      <w:pPr>
        <w:spacing w:before="11"/>
        <w:rPr>
          <w:rFonts w:ascii="Times New Roman" w:eastAsia="Arial" w:hAnsi="Times New Roman" w:cs="Times New Roman"/>
          <w:b/>
          <w:bCs/>
          <w:sz w:val="24"/>
          <w:szCs w:val="24"/>
        </w:rPr>
      </w:pPr>
    </w:p>
    <w:p w14:paraId="030936D4" w14:textId="46A8ECE1" w:rsidR="00463CE2" w:rsidRPr="00CD36DB" w:rsidRDefault="00E27F66">
      <w:pPr>
        <w:pStyle w:val="Textoindependiente"/>
        <w:jc w:val="both"/>
        <w:rPr>
          <w:rFonts w:ascii="Times New Roman" w:hAnsi="Times New Roman" w:cs="Times New Roman"/>
        </w:rPr>
      </w:pPr>
      <w:r w:rsidRPr="00CD36DB">
        <w:rPr>
          <w:rFonts w:ascii="Times New Roman" w:hAnsi="Times New Roman" w:cs="Times New Roman"/>
          <w:lang w:val="es"/>
        </w:rPr>
        <w:t>Previo emplazamiento</w:t>
      </w:r>
      <w:r w:rsidR="00245737" w:rsidRPr="00CD36DB">
        <w:rPr>
          <w:rFonts w:ascii="Times New Roman" w:hAnsi="Times New Roman" w:cs="Times New Roman"/>
          <w:lang w:val="es"/>
        </w:rPr>
        <w:t xml:space="preserve">  para  </w:t>
      </w:r>
      <w:r w:rsidRPr="00CD36DB">
        <w:rPr>
          <w:rFonts w:ascii="Times New Roman" w:hAnsi="Times New Roman" w:cs="Times New Roman"/>
          <w:lang w:val="es"/>
        </w:rPr>
        <w:t>declarar, mediante</w:t>
      </w:r>
      <w:r w:rsidR="00245737" w:rsidRPr="00CD36DB">
        <w:rPr>
          <w:rFonts w:ascii="Times New Roman" w:hAnsi="Times New Roman" w:cs="Times New Roman"/>
          <w:lang w:val="es"/>
        </w:rPr>
        <w:t xml:space="preserve">  </w:t>
      </w:r>
      <w:r w:rsidRPr="00CD36DB">
        <w:rPr>
          <w:rFonts w:ascii="Times New Roman" w:hAnsi="Times New Roman" w:cs="Times New Roman"/>
          <w:lang w:val="es"/>
        </w:rPr>
        <w:t>Resolución nro.</w:t>
      </w:r>
      <w:r w:rsidR="00245737" w:rsidRPr="00CD36DB">
        <w:rPr>
          <w:rFonts w:ascii="Times New Roman" w:hAnsi="Times New Roman" w:cs="Times New Roman"/>
          <w:lang w:val="es"/>
        </w:rPr>
        <w:t xml:space="preserve">   451-DDI-</w:t>
      </w:r>
    </w:p>
    <w:p w14:paraId="13890736" w14:textId="77777777" w:rsidR="00463CE2" w:rsidRPr="00CD36DB" w:rsidRDefault="00463CE2">
      <w:pPr>
        <w:jc w:val="both"/>
        <w:rPr>
          <w:rFonts w:ascii="Times New Roman" w:hAnsi="Times New Roman" w:cs="Times New Roman"/>
          <w:sz w:val="24"/>
          <w:szCs w:val="24"/>
        </w:rPr>
        <w:sectPr w:rsidR="00463CE2" w:rsidRPr="00CD36DB" w:rsidSect="00CD36DB">
          <w:type w:val="continuous"/>
          <w:pgSz w:w="12240" w:h="15840" w:code="1"/>
          <w:pgMar w:top="1134" w:right="1134" w:bottom="1134" w:left="1418" w:header="720" w:footer="720" w:gutter="0"/>
          <w:cols w:space="720"/>
          <w:docGrid w:linePitch="299"/>
        </w:sectPr>
      </w:pPr>
    </w:p>
    <w:p w14:paraId="0AE64BD5" w14:textId="77777777" w:rsidR="00463CE2" w:rsidRPr="00CD36DB" w:rsidRDefault="00463CE2">
      <w:pPr>
        <w:rPr>
          <w:rFonts w:ascii="Times New Roman" w:eastAsia="Arial" w:hAnsi="Times New Roman" w:cs="Times New Roman"/>
          <w:sz w:val="24"/>
          <w:szCs w:val="24"/>
        </w:rPr>
      </w:pPr>
    </w:p>
    <w:p w14:paraId="3FF7F11D" w14:textId="77777777" w:rsidR="00463CE2" w:rsidRPr="00CD36DB" w:rsidRDefault="00463CE2">
      <w:pPr>
        <w:rPr>
          <w:rFonts w:ascii="Times New Roman" w:eastAsia="Arial" w:hAnsi="Times New Roman" w:cs="Times New Roman"/>
          <w:sz w:val="24"/>
          <w:szCs w:val="24"/>
        </w:rPr>
      </w:pPr>
    </w:p>
    <w:p w14:paraId="25E9AAFF" w14:textId="77777777" w:rsidR="00463CE2" w:rsidRPr="00CD36DB" w:rsidRDefault="00463CE2">
      <w:pPr>
        <w:spacing w:before="7"/>
        <w:rPr>
          <w:rFonts w:ascii="Times New Roman" w:eastAsia="Arial" w:hAnsi="Times New Roman" w:cs="Times New Roman"/>
          <w:sz w:val="24"/>
          <w:szCs w:val="24"/>
        </w:rPr>
      </w:pPr>
    </w:p>
    <w:p w14:paraId="1051BABA" w14:textId="38820411" w:rsidR="00463CE2" w:rsidRPr="00CD36DB" w:rsidRDefault="00245737">
      <w:pPr>
        <w:pStyle w:val="Textoindependiente"/>
        <w:spacing w:before="69"/>
        <w:ind w:right="117"/>
        <w:jc w:val="both"/>
        <w:rPr>
          <w:rFonts w:ascii="Times New Roman" w:hAnsi="Times New Roman" w:cs="Times New Roman"/>
        </w:rPr>
      </w:pPr>
      <w:r w:rsidRPr="00CD36DB">
        <w:rPr>
          <w:rFonts w:ascii="Times New Roman" w:hAnsi="Times New Roman" w:cs="Times New Roman"/>
          <w:lang w:val="es"/>
        </w:rPr>
        <w:t>008782, del 27 de febrero de 2013, la Secretaría de Hacienda Distrital de Bogotá sancionó a la actora por no presentar las declaraciones del impuesto de industria y comercio (ICA), correspondientes a los bimestres 1.º a 6.º de los años gravables 2008 a 2011 (ff. 46 a 61).  Posteriormente, profirió la Liquidación Oficial de Aforo nro. 554-DDI-51618 y/o 2013EE51618, del 08 de marzo de 2013, por los periodos mencionados.</w:t>
      </w:r>
    </w:p>
    <w:p w14:paraId="2A752CFD" w14:textId="77777777" w:rsidR="00463CE2" w:rsidRPr="00CD36DB" w:rsidRDefault="00463CE2">
      <w:pPr>
        <w:rPr>
          <w:rFonts w:ascii="Times New Roman" w:eastAsia="Arial" w:hAnsi="Times New Roman" w:cs="Times New Roman"/>
          <w:sz w:val="24"/>
          <w:szCs w:val="24"/>
        </w:rPr>
      </w:pPr>
    </w:p>
    <w:p w14:paraId="6C4BC152" w14:textId="63FCB7D7" w:rsidR="00463CE2" w:rsidRPr="00CD36DB" w:rsidRDefault="00245737">
      <w:pPr>
        <w:pStyle w:val="Textoindependiente"/>
        <w:ind w:right="114"/>
        <w:jc w:val="both"/>
        <w:rPr>
          <w:rFonts w:ascii="Times New Roman" w:hAnsi="Times New Roman" w:cs="Times New Roman"/>
        </w:rPr>
      </w:pPr>
      <w:r w:rsidRPr="00CD36DB">
        <w:rPr>
          <w:rFonts w:ascii="Times New Roman" w:hAnsi="Times New Roman" w:cs="Times New Roman"/>
          <w:lang w:val="es"/>
        </w:rPr>
        <w:t xml:space="preserve">La decisión fue confirmada por la Resolución DDI nro. 024598, del 2 de abril de 2014 (f. 83 a 92), </w:t>
      </w:r>
      <w:r w:rsidR="00E27F66" w:rsidRPr="00CD36DB">
        <w:rPr>
          <w:rFonts w:ascii="Times New Roman" w:hAnsi="Times New Roman" w:cs="Times New Roman"/>
          <w:lang w:val="es"/>
        </w:rPr>
        <w:t>que falló</w:t>
      </w:r>
      <w:r w:rsidRPr="00CD36DB">
        <w:rPr>
          <w:rFonts w:ascii="Times New Roman" w:hAnsi="Times New Roman" w:cs="Times New Roman"/>
          <w:lang w:val="es"/>
        </w:rPr>
        <w:t xml:space="preserve"> el recurso de reconsideración interpuesto, en el sentido de </w:t>
      </w:r>
      <w:r w:rsidR="00E27F66" w:rsidRPr="00CD36DB">
        <w:rPr>
          <w:rFonts w:ascii="Times New Roman" w:hAnsi="Times New Roman" w:cs="Times New Roman"/>
          <w:lang w:val="es"/>
        </w:rPr>
        <w:t>confirmar la</w:t>
      </w:r>
      <w:r w:rsidRPr="00CD36DB">
        <w:rPr>
          <w:rFonts w:ascii="Times New Roman" w:hAnsi="Times New Roman" w:cs="Times New Roman"/>
          <w:lang w:val="es"/>
        </w:rPr>
        <w:t xml:space="preserve"> liquidación de aforo y la sanción por no declarar impuesta.</w:t>
      </w:r>
    </w:p>
    <w:p w14:paraId="314457B5" w14:textId="77777777" w:rsidR="00463CE2" w:rsidRPr="00CD36DB" w:rsidRDefault="00463CE2">
      <w:pPr>
        <w:rPr>
          <w:rFonts w:ascii="Times New Roman" w:eastAsia="Arial" w:hAnsi="Times New Roman" w:cs="Times New Roman"/>
          <w:sz w:val="24"/>
          <w:szCs w:val="24"/>
        </w:rPr>
      </w:pPr>
    </w:p>
    <w:p w14:paraId="25E58A68" w14:textId="77777777" w:rsidR="00463CE2" w:rsidRPr="00CD36DB" w:rsidRDefault="00463CE2">
      <w:pPr>
        <w:rPr>
          <w:rFonts w:ascii="Times New Roman" w:eastAsia="Arial" w:hAnsi="Times New Roman" w:cs="Times New Roman"/>
          <w:sz w:val="24"/>
          <w:szCs w:val="24"/>
        </w:rPr>
      </w:pPr>
    </w:p>
    <w:p w14:paraId="71FB6E7A" w14:textId="77777777" w:rsidR="00463CE2" w:rsidRPr="00CD36DB" w:rsidRDefault="00245737">
      <w:pPr>
        <w:pStyle w:val="Ttulo1"/>
        <w:ind w:left="2734" w:right="2306"/>
        <w:jc w:val="center"/>
        <w:rPr>
          <w:rFonts w:ascii="Times New Roman" w:hAnsi="Times New Roman" w:cs="Times New Roman"/>
          <w:b w:val="0"/>
          <w:bCs w:val="0"/>
        </w:rPr>
      </w:pPr>
      <w:r w:rsidRPr="00CD36DB">
        <w:rPr>
          <w:rFonts w:ascii="Times New Roman" w:hAnsi="Times New Roman" w:cs="Times New Roman"/>
          <w:lang w:val="es"/>
        </w:rPr>
        <w:t>ANTECEDENTES DEL PROCESO</w:t>
      </w:r>
    </w:p>
    <w:p w14:paraId="55CA2F16" w14:textId="77777777" w:rsidR="00463CE2" w:rsidRPr="00CD36DB" w:rsidRDefault="00463CE2">
      <w:pPr>
        <w:rPr>
          <w:rFonts w:ascii="Times New Roman" w:eastAsia="Arial" w:hAnsi="Times New Roman" w:cs="Times New Roman"/>
          <w:b/>
          <w:bCs/>
          <w:sz w:val="24"/>
          <w:szCs w:val="24"/>
        </w:rPr>
      </w:pPr>
    </w:p>
    <w:p w14:paraId="487D4711" w14:textId="77777777" w:rsidR="00463CE2" w:rsidRPr="00CD36DB" w:rsidRDefault="00463CE2">
      <w:pPr>
        <w:rPr>
          <w:rFonts w:ascii="Times New Roman" w:eastAsia="Arial" w:hAnsi="Times New Roman" w:cs="Times New Roman"/>
          <w:b/>
          <w:bCs/>
          <w:sz w:val="24"/>
          <w:szCs w:val="24"/>
        </w:rPr>
      </w:pPr>
    </w:p>
    <w:p w14:paraId="091C3C7C" w14:textId="77777777" w:rsidR="00463CE2" w:rsidRPr="00CD36DB" w:rsidRDefault="00245737">
      <w:pPr>
        <w:ind w:left="548"/>
        <w:jc w:val="both"/>
        <w:rPr>
          <w:rFonts w:ascii="Times New Roman" w:eastAsia="Arial" w:hAnsi="Times New Roman" w:cs="Times New Roman"/>
          <w:sz w:val="24"/>
          <w:szCs w:val="24"/>
        </w:rPr>
      </w:pPr>
      <w:r w:rsidRPr="00CD36DB">
        <w:rPr>
          <w:rFonts w:ascii="Times New Roman" w:hAnsi="Times New Roman" w:cs="Times New Roman"/>
          <w:b/>
          <w:sz w:val="24"/>
          <w:szCs w:val="24"/>
          <w:lang w:val="es"/>
        </w:rPr>
        <w:t>Demanda</w:t>
      </w:r>
    </w:p>
    <w:p w14:paraId="1B490457" w14:textId="77777777" w:rsidR="00463CE2" w:rsidRPr="00CD36DB" w:rsidRDefault="00463CE2">
      <w:pPr>
        <w:rPr>
          <w:rFonts w:ascii="Times New Roman" w:eastAsia="Arial" w:hAnsi="Times New Roman" w:cs="Times New Roman"/>
          <w:b/>
          <w:bCs/>
          <w:sz w:val="24"/>
          <w:szCs w:val="24"/>
        </w:rPr>
      </w:pPr>
    </w:p>
    <w:p w14:paraId="5B384649" w14:textId="4AB67967" w:rsidR="00463CE2" w:rsidRPr="00CD36DB" w:rsidRDefault="00245737">
      <w:pPr>
        <w:pStyle w:val="Textoindependiente"/>
        <w:ind w:right="121"/>
        <w:jc w:val="both"/>
        <w:rPr>
          <w:rFonts w:ascii="Times New Roman" w:hAnsi="Times New Roman" w:cs="Times New Roman"/>
        </w:rPr>
      </w:pPr>
      <w:r w:rsidRPr="00CD36DB">
        <w:rPr>
          <w:rFonts w:ascii="Times New Roman" w:hAnsi="Times New Roman" w:cs="Times New Roman"/>
          <w:lang w:val="es"/>
        </w:rPr>
        <w:t xml:space="preserve">En ejercicio del medio de control de nulidad y restablecimiento del </w:t>
      </w:r>
      <w:r w:rsidR="00E27F66" w:rsidRPr="00CD36DB">
        <w:rPr>
          <w:rFonts w:ascii="Times New Roman" w:hAnsi="Times New Roman" w:cs="Times New Roman"/>
          <w:lang w:val="es"/>
        </w:rPr>
        <w:t>derecho, contemplado</w:t>
      </w:r>
      <w:r w:rsidRPr="00CD36DB">
        <w:rPr>
          <w:rFonts w:ascii="Times New Roman" w:hAnsi="Times New Roman" w:cs="Times New Roman"/>
          <w:lang w:val="es"/>
        </w:rPr>
        <w:t xml:space="preserve"> en el artículo 138 del Código de Procedimiento Administrativo y de lo Contencioso Administrativo (CPACA, Ley 1437 de 2011), la demandante formuló las siguientes pretensiones (f. 3 CP1):</w:t>
      </w:r>
    </w:p>
    <w:p w14:paraId="18ED3FB4" w14:textId="77777777" w:rsidR="00463CE2" w:rsidRPr="00CD36DB" w:rsidRDefault="00463CE2">
      <w:pPr>
        <w:spacing w:before="11"/>
        <w:rPr>
          <w:rFonts w:ascii="Times New Roman" w:eastAsia="Arial" w:hAnsi="Times New Roman" w:cs="Times New Roman"/>
          <w:sz w:val="24"/>
          <w:szCs w:val="24"/>
        </w:rPr>
      </w:pPr>
    </w:p>
    <w:p w14:paraId="60B1A66B" w14:textId="551C58C0" w:rsidR="00463CE2" w:rsidRPr="00CD36DB" w:rsidRDefault="00245737">
      <w:pPr>
        <w:ind w:left="1114" w:right="121"/>
        <w:jc w:val="both"/>
        <w:rPr>
          <w:rFonts w:ascii="Times New Roman" w:eastAsia="Arial" w:hAnsi="Times New Roman" w:cs="Times New Roman"/>
          <w:sz w:val="24"/>
          <w:szCs w:val="24"/>
        </w:rPr>
      </w:pPr>
      <w:r w:rsidRPr="00CD36DB">
        <w:rPr>
          <w:rFonts w:ascii="Times New Roman" w:hAnsi="Times New Roman" w:cs="Times New Roman"/>
          <w:sz w:val="24"/>
          <w:szCs w:val="24"/>
          <w:lang w:val="es"/>
        </w:rPr>
        <w:t xml:space="preserve">Primera: Que son nulas las Resoluciones nro. 451-DDI-008782 y/o 2013EE34670, del 27 de febrero de 2013 y nro.  554-DDI 51618 y/o 2013EE51618 del 8 de marzo de 2013, y, la </w:t>
      </w:r>
      <w:r w:rsidR="00E27F66" w:rsidRPr="00CD36DB">
        <w:rPr>
          <w:rFonts w:ascii="Times New Roman" w:hAnsi="Times New Roman" w:cs="Times New Roman"/>
          <w:sz w:val="24"/>
          <w:szCs w:val="24"/>
          <w:lang w:val="es"/>
        </w:rPr>
        <w:t>Resolución no</w:t>
      </w:r>
      <w:r w:rsidRPr="00CD36DB">
        <w:rPr>
          <w:rFonts w:ascii="Times New Roman" w:hAnsi="Times New Roman" w:cs="Times New Roman"/>
          <w:sz w:val="24"/>
          <w:szCs w:val="24"/>
          <w:lang w:val="es"/>
        </w:rPr>
        <w:t xml:space="preserve">. DDI 024598, del 2 de abril de 2014 por haber sido expedidas con violación a las normas </w:t>
      </w:r>
      <w:r w:rsidR="00E27F66" w:rsidRPr="00CD36DB">
        <w:rPr>
          <w:rFonts w:ascii="Times New Roman" w:hAnsi="Times New Roman" w:cs="Times New Roman"/>
          <w:sz w:val="24"/>
          <w:szCs w:val="24"/>
          <w:lang w:val="es"/>
        </w:rPr>
        <w:t>nacionales y</w:t>
      </w:r>
      <w:r w:rsidRPr="00CD36DB">
        <w:rPr>
          <w:rFonts w:ascii="Times New Roman" w:hAnsi="Times New Roman" w:cs="Times New Roman"/>
          <w:sz w:val="24"/>
          <w:szCs w:val="24"/>
          <w:lang w:val="es"/>
        </w:rPr>
        <w:t xml:space="preserve"> distritales a las que hubieren tenido que sujetarse.</w:t>
      </w:r>
    </w:p>
    <w:p w14:paraId="1A4A4265" w14:textId="77777777" w:rsidR="00463CE2" w:rsidRPr="00CD36DB" w:rsidRDefault="00463CE2">
      <w:pPr>
        <w:spacing w:before="1"/>
        <w:rPr>
          <w:rFonts w:ascii="Times New Roman" w:eastAsia="Arial" w:hAnsi="Times New Roman" w:cs="Times New Roman"/>
          <w:sz w:val="24"/>
          <w:szCs w:val="24"/>
        </w:rPr>
      </w:pPr>
    </w:p>
    <w:p w14:paraId="2DE1E945" w14:textId="3087FB22" w:rsidR="00463CE2" w:rsidRPr="00CD36DB" w:rsidRDefault="00245737">
      <w:pPr>
        <w:ind w:left="1114" w:right="125"/>
        <w:jc w:val="both"/>
        <w:rPr>
          <w:rFonts w:ascii="Times New Roman" w:eastAsia="Arial" w:hAnsi="Times New Roman" w:cs="Times New Roman"/>
          <w:sz w:val="24"/>
          <w:szCs w:val="24"/>
        </w:rPr>
      </w:pPr>
      <w:r w:rsidRPr="00CD36DB">
        <w:rPr>
          <w:rFonts w:ascii="Times New Roman" w:hAnsi="Times New Roman" w:cs="Times New Roman"/>
          <w:sz w:val="24"/>
          <w:szCs w:val="24"/>
          <w:lang w:val="es"/>
        </w:rPr>
        <w:t xml:space="preserve">Segunda: Que como consecuencia de lo anterior se declare que OPTION S.A.  no tenía obligación alguna de pagar el impuesto de industria y </w:t>
      </w:r>
      <w:r w:rsidR="00E27F66" w:rsidRPr="00CD36DB">
        <w:rPr>
          <w:rFonts w:ascii="Times New Roman" w:hAnsi="Times New Roman" w:cs="Times New Roman"/>
          <w:sz w:val="24"/>
          <w:szCs w:val="24"/>
          <w:lang w:val="es"/>
        </w:rPr>
        <w:t>comercio correspondiente</w:t>
      </w:r>
      <w:r w:rsidRPr="00CD36DB">
        <w:rPr>
          <w:rFonts w:ascii="Times New Roman" w:hAnsi="Times New Roman" w:cs="Times New Roman"/>
          <w:sz w:val="24"/>
          <w:szCs w:val="24"/>
          <w:lang w:val="es"/>
        </w:rPr>
        <w:t xml:space="preserve"> a los bimestres 1 a 6 de los años gravables </w:t>
      </w:r>
      <w:r w:rsidR="00E27F66" w:rsidRPr="00CD36DB">
        <w:rPr>
          <w:rFonts w:ascii="Times New Roman" w:hAnsi="Times New Roman" w:cs="Times New Roman"/>
          <w:sz w:val="24"/>
          <w:szCs w:val="24"/>
          <w:lang w:val="es"/>
        </w:rPr>
        <w:t>2008 a</w:t>
      </w:r>
      <w:r w:rsidRPr="00CD36DB">
        <w:rPr>
          <w:rFonts w:ascii="Times New Roman" w:hAnsi="Times New Roman" w:cs="Times New Roman"/>
          <w:sz w:val="24"/>
          <w:szCs w:val="24"/>
          <w:lang w:val="es"/>
        </w:rPr>
        <w:t xml:space="preserve"> 2011 en el Distrito Capital de Bogotá, por los ingresos </w:t>
      </w:r>
      <w:r w:rsidR="00E27F66" w:rsidRPr="00CD36DB">
        <w:rPr>
          <w:rFonts w:ascii="Times New Roman" w:hAnsi="Times New Roman" w:cs="Times New Roman"/>
          <w:sz w:val="24"/>
          <w:szCs w:val="24"/>
          <w:lang w:val="es"/>
        </w:rPr>
        <w:t>originados en</w:t>
      </w:r>
      <w:r w:rsidRPr="00CD36DB">
        <w:rPr>
          <w:rFonts w:ascii="Times New Roman" w:hAnsi="Times New Roman" w:cs="Times New Roman"/>
          <w:sz w:val="24"/>
          <w:szCs w:val="24"/>
          <w:lang w:val="es"/>
        </w:rPr>
        <w:t xml:space="preserve"> las ventas realizadas en la ciudad de Cota (Cundinamarca).</w:t>
      </w:r>
    </w:p>
    <w:p w14:paraId="4EBEC7F8" w14:textId="77777777" w:rsidR="00463CE2" w:rsidRPr="00CD36DB" w:rsidRDefault="00463CE2">
      <w:pPr>
        <w:spacing w:before="2"/>
        <w:rPr>
          <w:rFonts w:ascii="Times New Roman" w:eastAsia="Arial" w:hAnsi="Times New Roman" w:cs="Times New Roman"/>
          <w:sz w:val="24"/>
          <w:szCs w:val="24"/>
        </w:rPr>
      </w:pPr>
    </w:p>
    <w:p w14:paraId="080A4F03" w14:textId="3F964469" w:rsidR="00463CE2" w:rsidRPr="00CD36DB" w:rsidRDefault="00245737">
      <w:pPr>
        <w:pStyle w:val="Textoindependiente"/>
        <w:ind w:right="124"/>
        <w:jc w:val="both"/>
        <w:rPr>
          <w:rFonts w:ascii="Times New Roman" w:hAnsi="Times New Roman" w:cs="Times New Roman"/>
        </w:rPr>
      </w:pPr>
      <w:r w:rsidRPr="00CD36DB">
        <w:rPr>
          <w:rFonts w:ascii="Times New Roman" w:hAnsi="Times New Roman" w:cs="Times New Roman"/>
          <w:lang w:val="es"/>
        </w:rPr>
        <w:t xml:space="preserve">A los anteriores efectos, invocó como violados los artículos 29 y 95 de la </w:t>
      </w:r>
      <w:r w:rsidR="00E27F66" w:rsidRPr="00CD36DB">
        <w:rPr>
          <w:rFonts w:ascii="Times New Roman" w:hAnsi="Times New Roman" w:cs="Times New Roman"/>
          <w:lang w:val="es"/>
        </w:rPr>
        <w:t>Constitución;</w:t>
      </w:r>
      <w:r w:rsidRPr="00CD36DB">
        <w:rPr>
          <w:rFonts w:ascii="Times New Roman" w:hAnsi="Times New Roman" w:cs="Times New Roman"/>
          <w:lang w:val="es"/>
        </w:rPr>
        <w:t xml:space="preserve"> 174, 176, 181 y 187 del Código de Procedimiento </w:t>
      </w:r>
      <w:r w:rsidR="00E27F66" w:rsidRPr="00CD36DB">
        <w:rPr>
          <w:rFonts w:ascii="Times New Roman" w:hAnsi="Times New Roman" w:cs="Times New Roman"/>
          <w:lang w:val="es"/>
        </w:rPr>
        <w:t>Civil (</w:t>
      </w:r>
      <w:r w:rsidRPr="00CD36DB">
        <w:rPr>
          <w:rFonts w:ascii="Times New Roman" w:hAnsi="Times New Roman" w:cs="Times New Roman"/>
          <w:lang w:val="es"/>
        </w:rPr>
        <w:t>CPC);</w:t>
      </w:r>
    </w:p>
    <w:p w14:paraId="0E85D85F" w14:textId="48E57C9F" w:rsidR="00463CE2" w:rsidRPr="00CD36DB" w:rsidRDefault="00245737">
      <w:pPr>
        <w:pStyle w:val="Textoindependiente"/>
        <w:jc w:val="both"/>
        <w:rPr>
          <w:rFonts w:ascii="Times New Roman" w:hAnsi="Times New Roman" w:cs="Times New Roman"/>
        </w:rPr>
      </w:pPr>
      <w:r w:rsidRPr="00CD36DB">
        <w:rPr>
          <w:rFonts w:ascii="Times New Roman" w:hAnsi="Times New Roman" w:cs="Times New Roman"/>
          <w:lang w:val="es"/>
        </w:rPr>
        <w:t xml:space="preserve">742, 743, 744, 745 y 746 del Estatuto Tributario (ET); 127-7 del </w:t>
      </w:r>
      <w:r w:rsidR="00E27F66" w:rsidRPr="00CD36DB">
        <w:rPr>
          <w:rFonts w:ascii="Times New Roman" w:hAnsi="Times New Roman" w:cs="Times New Roman"/>
          <w:lang w:val="es"/>
        </w:rPr>
        <w:t>Decreto 807</w:t>
      </w:r>
    </w:p>
    <w:p w14:paraId="3FCA636B" w14:textId="77777777" w:rsidR="00463CE2" w:rsidRPr="00CD36DB" w:rsidRDefault="00245737">
      <w:pPr>
        <w:pStyle w:val="Textoindependiente"/>
        <w:spacing w:line="480" w:lineRule="auto"/>
        <w:ind w:right="2792"/>
        <w:rPr>
          <w:rFonts w:ascii="Times New Roman" w:hAnsi="Times New Roman" w:cs="Times New Roman"/>
        </w:rPr>
      </w:pPr>
      <w:r w:rsidRPr="00CD36DB">
        <w:rPr>
          <w:rFonts w:ascii="Times New Roman" w:hAnsi="Times New Roman" w:cs="Times New Roman"/>
          <w:lang w:val="es"/>
        </w:rPr>
        <w:t>de 1993; 32, 34, 37 y 52.2 del Decreto 35 de 2002. El concepto de la violación planteado se resume así:</w:t>
      </w:r>
    </w:p>
    <w:p w14:paraId="5254CE78" w14:textId="1F0A9BD1" w:rsidR="00463CE2" w:rsidRPr="00CD36DB" w:rsidRDefault="00245737">
      <w:pPr>
        <w:pStyle w:val="Textoindependiente"/>
        <w:spacing w:before="8"/>
        <w:ind w:right="121"/>
        <w:jc w:val="both"/>
        <w:rPr>
          <w:rFonts w:ascii="Times New Roman" w:hAnsi="Times New Roman" w:cs="Times New Roman"/>
        </w:rPr>
      </w:pPr>
      <w:r w:rsidRPr="00CD36DB">
        <w:rPr>
          <w:rFonts w:ascii="Times New Roman" w:hAnsi="Times New Roman" w:cs="Times New Roman"/>
          <w:lang w:val="es"/>
        </w:rPr>
        <w:t xml:space="preserve">Sostuvo que la demandada aplicó indebidamente las normas que regulan el ICA, en </w:t>
      </w:r>
      <w:r w:rsidR="00E27F66" w:rsidRPr="00CD36DB">
        <w:rPr>
          <w:rFonts w:ascii="Times New Roman" w:hAnsi="Times New Roman" w:cs="Times New Roman"/>
          <w:lang w:val="es"/>
        </w:rPr>
        <w:t>especial el</w:t>
      </w:r>
      <w:r w:rsidRPr="00CD36DB">
        <w:rPr>
          <w:rFonts w:ascii="Times New Roman" w:hAnsi="Times New Roman" w:cs="Times New Roman"/>
          <w:lang w:val="es"/>
        </w:rPr>
        <w:t xml:space="preserve"> artículo 52 del Decreto Distrital 352 de 2002, por cuanto </w:t>
      </w:r>
      <w:r w:rsidR="00E27F66" w:rsidRPr="00CD36DB">
        <w:rPr>
          <w:rFonts w:ascii="Times New Roman" w:hAnsi="Times New Roman" w:cs="Times New Roman"/>
          <w:lang w:val="es"/>
        </w:rPr>
        <w:t>no tuvo</w:t>
      </w:r>
      <w:r w:rsidRPr="00CD36DB">
        <w:rPr>
          <w:rFonts w:ascii="Times New Roman" w:hAnsi="Times New Roman" w:cs="Times New Roman"/>
          <w:lang w:val="es"/>
        </w:rPr>
        <w:t xml:space="preserve"> en cuenta que el hecho generador se realizó en Cota y </w:t>
      </w:r>
      <w:r w:rsidR="00E27F66" w:rsidRPr="00CD36DB">
        <w:rPr>
          <w:rFonts w:ascii="Times New Roman" w:hAnsi="Times New Roman" w:cs="Times New Roman"/>
          <w:lang w:val="es"/>
        </w:rPr>
        <w:t>no en</w:t>
      </w:r>
      <w:r w:rsidRPr="00CD36DB">
        <w:rPr>
          <w:rFonts w:ascii="Times New Roman" w:hAnsi="Times New Roman" w:cs="Times New Roman"/>
          <w:lang w:val="es"/>
        </w:rPr>
        <w:t xml:space="preserve"> Bogotá. Para explicar el argumento manifestó que el proceso de comercialización que</w:t>
      </w:r>
    </w:p>
    <w:p w14:paraId="1A81C031" w14:textId="77777777" w:rsidR="00463CE2" w:rsidRPr="00CD36DB" w:rsidRDefault="00463CE2">
      <w:pPr>
        <w:jc w:val="both"/>
        <w:rPr>
          <w:rFonts w:ascii="Times New Roman" w:hAnsi="Times New Roman" w:cs="Times New Roman"/>
          <w:sz w:val="24"/>
          <w:szCs w:val="24"/>
        </w:rPr>
        <w:sectPr w:rsidR="00463CE2" w:rsidRPr="00CD36DB" w:rsidSect="00CD36DB">
          <w:pgSz w:w="12240" w:h="15840" w:code="1"/>
          <w:pgMar w:top="1134" w:right="1134" w:bottom="1134" w:left="1418" w:header="720" w:footer="720" w:gutter="0"/>
          <w:cols w:space="720"/>
          <w:docGrid w:linePitch="299"/>
        </w:sectPr>
      </w:pPr>
    </w:p>
    <w:p w14:paraId="7EB6CF2B" w14:textId="77777777" w:rsidR="00463CE2" w:rsidRPr="00CD36DB" w:rsidRDefault="00463CE2">
      <w:pPr>
        <w:rPr>
          <w:rFonts w:ascii="Times New Roman" w:eastAsia="Arial" w:hAnsi="Times New Roman" w:cs="Times New Roman"/>
          <w:sz w:val="24"/>
          <w:szCs w:val="24"/>
        </w:rPr>
      </w:pPr>
    </w:p>
    <w:p w14:paraId="4636ADBD" w14:textId="77777777" w:rsidR="00463CE2" w:rsidRPr="00CD36DB" w:rsidRDefault="00463CE2">
      <w:pPr>
        <w:rPr>
          <w:rFonts w:ascii="Times New Roman" w:eastAsia="Arial" w:hAnsi="Times New Roman" w:cs="Times New Roman"/>
          <w:sz w:val="24"/>
          <w:szCs w:val="24"/>
        </w:rPr>
      </w:pPr>
    </w:p>
    <w:p w14:paraId="3AB41516" w14:textId="77777777" w:rsidR="00463CE2" w:rsidRPr="00CD36DB" w:rsidRDefault="00463CE2">
      <w:pPr>
        <w:spacing w:before="7"/>
        <w:rPr>
          <w:rFonts w:ascii="Times New Roman" w:eastAsia="Arial" w:hAnsi="Times New Roman" w:cs="Times New Roman"/>
          <w:sz w:val="24"/>
          <w:szCs w:val="24"/>
        </w:rPr>
      </w:pPr>
    </w:p>
    <w:p w14:paraId="2999B646" w14:textId="77777777" w:rsidR="00463CE2" w:rsidRPr="00CD36DB" w:rsidRDefault="00245737">
      <w:pPr>
        <w:pStyle w:val="Textoindependiente"/>
        <w:spacing w:before="69"/>
        <w:ind w:right="118"/>
        <w:jc w:val="both"/>
        <w:rPr>
          <w:rFonts w:ascii="Times New Roman" w:hAnsi="Times New Roman" w:cs="Times New Roman"/>
        </w:rPr>
      </w:pPr>
      <w:r w:rsidRPr="00CD36DB">
        <w:rPr>
          <w:rFonts w:ascii="Times New Roman" w:hAnsi="Times New Roman" w:cs="Times New Roman"/>
          <w:lang w:val="es"/>
        </w:rPr>
        <w:t xml:space="preserve">lleva a cabo con sus clientes se desarrolla en distintas etapas que comprenden el ofrecimiento de los productos, la negociación de las condiciones de venta y el envío de la mercancía al lugar señalado; por </w:t>
      </w:r>
      <w:r w:rsidRPr="00CD36DB">
        <w:rPr>
          <w:rFonts w:ascii="Times New Roman" w:hAnsi="Times New Roman" w:cs="Times New Roman"/>
          <w:spacing w:val="2"/>
          <w:lang w:val="es"/>
        </w:rPr>
        <w:t>tal</w:t>
      </w:r>
      <w:r w:rsidRPr="00CD36DB">
        <w:rPr>
          <w:rFonts w:ascii="Times New Roman" w:hAnsi="Times New Roman" w:cs="Times New Roman"/>
          <w:lang w:val="es"/>
        </w:rPr>
        <w:t xml:space="preserve"> razón, el hecho generador del tributo ocurre donde se llevaron a cabo todas las gestiones necesarias para concluir exitosamente la venta, que para el caso ocurre en el municipio de Cota y no en el Distrito Capital.</w:t>
      </w:r>
    </w:p>
    <w:p w14:paraId="08F267A3" w14:textId="77777777" w:rsidR="00463CE2" w:rsidRPr="00CD36DB" w:rsidRDefault="00463CE2">
      <w:pPr>
        <w:rPr>
          <w:rFonts w:ascii="Times New Roman" w:eastAsia="Arial" w:hAnsi="Times New Roman" w:cs="Times New Roman"/>
          <w:sz w:val="24"/>
          <w:szCs w:val="24"/>
        </w:rPr>
      </w:pPr>
    </w:p>
    <w:p w14:paraId="567E8146" w14:textId="521396C6" w:rsidR="00463CE2" w:rsidRPr="00CD36DB" w:rsidRDefault="00245737">
      <w:pPr>
        <w:pStyle w:val="Textoindependiente"/>
        <w:ind w:right="117"/>
        <w:jc w:val="both"/>
        <w:rPr>
          <w:rFonts w:ascii="Times New Roman" w:hAnsi="Times New Roman" w:cs="Times New Roman"/>
        </w:rPr>
      </w:pPr>
      <w:r w:rsidRPr="00CD36DB">
        <w:rPr>
          <w:rFonts w:ascii="Times New Roman" w:hAnsi="Times New Roman" w:cs="Times New Roman"/>
          <w:lang w:val="es"/>
        </w:rPr>
        <w:t xml:space="preserve">Relató la forma como se lleva a cabo el proceso interno de la </w:t>
      </w:r>
      <w:r w:rsidR="00E27F66" w:rsidRPr="00CD36DB">
        <w:rPr>
          <w:rFonts w:ascii="Times New Roman" w:hAnsi="Times New Roman" w:cs="Times New Roman"/>
          <w:lang w:val="es"/>
        </w:rPr>
        <w:t>venta,</w:t>
      </w:r>
      <w:r w:rsidRPr="00CD36DB">
        <w:rPr>
          <w:rFonts w:ascii="Times New Roman" w:hAnsi="Times New Roman" w:cs="Times New Roman"/>
          <w:lang w:val="es"/>
        </w:rPr>
        <w:t xml:space="preserve"> en el cual los pedidos son recibidos por los asistentes de </w:t>
      </w:r>
      <w:r w:rsidR="00E27F66" w:rsidRPr="00CD36DB">
        <w:rPr>
          <w:rFonts w:ascii="Times New Roman" w:hAnsi="Times New Roman" w:cs="Times New Roman"/>
          <w:lang w:val="es"/>
        </w:rPr>
        <w:t>ventas ubicados</w:t>
      </w:r>
      <w:r w:rsidRPr="00CD36DB">
        <w:rPr>
          <w:rFonts w:ascii="Times New Roman" w:hAnsi="Times New Roman" w:cs="Times New Roman"/>
          <w:lang w:val="es"/>
        </w:rPr>
        <w:t xml:space="preserve"> en </w:t>
      </w:r>
      <w:r w:rsidR="00E27F66" w:rsidRPr="00CD36DB">
        <w:rPr>
          <w:rFonts w:ascii="Times New Roman" w:hAnsi="Times New Roman" w:cs="Times New Roman"/>
          <w:lang w:val="es"/>
        </w:rPr>
        <w:t>Cota; son</w:t>
      </w:r>
      <w:r w:rsidRPr="00CD36DB">
        <w:rPr>
          <w:rFonts w:ascii="Times New Roman" w:hAnsi="Times New Roman" w:cs="Times New Roman"/>
          <w:lang w:val="es"/>
        </w:rPr>
        <w:t xml:space="preserve"> registrados en el software de gestión de la empresa; se verifican los </w:t>
      </w:r>
      <w:r w:rsidR="00E27F66" w:rsidRPr="00CD36DB">
        <w:rPr>
          <w:rFonts w:ascii="Times New Roman" w:hAnsi="Times New Roman" w:cs="Times New Roman"/>
          <w:lang w:val="es"/>
        </w:rPr>
        <w:t>precios,</w:t>
      </w:r>
      <w:r w:rsidRPr="00CD36DB">
        <w:rPr>
          <w:rFonts w:ascii="Times New Roman" w:hAnsi="Times New Roman" w:cs="Times New Roman"/>
          <w:lang w:val="es"/>
        </w:rPr>
        <w:t xml:space="preserve"> cantidades, descuentos y demás condiciones económicas de </w:t>
      </w:r>
      <w:r w:rsidR="00E27F66" w:rsidRPr="00CD36DB">
        <w:rPr>
          <w:rFonts w:ascii="Times New Roman" w:hAnsi="Times New Roman" w:cs="Times New Roman"/>
          <w:lang w:val="es"/>
        </w:rPr>
        <w:t>venta; y</w:t>
      </w:r>
      <w:r w:rsidRPr="00CD36DB">
        <w:rPr>
          <w:rFonts w:ascii="Times New Roman" w:hAnsi="Times New Roman" w:cs="Times New Roman"/>
          <w:lang w:val="es"/>
        </w:rPr>
        <w:t xml:space="preserve"> se lleva a cabo la venta, para proceder al envío de </w:t>
      </w:r>
      <w:r w:rsidR="00E27F66" w:rsidRPr="00CD36DB">
        <w:rPr>
          <w:rFonts w:ascii="Times New Roman" w:hAnsi="Times New Roman" w:cs="Times New Roman"/>
          <w:lang w:val="es"/>
        </w:rPr>
        <w:t>la mercancía</w:t>
      </w:r>
      <w:r w:rsidRPr="00CD36DB">
        <w:rPr>
          <w:rFonts w:ascii="Times New Roman" w:hAnsi="Times New Roman" w:cs="Times New Roman"/>
          <w:lang w:val="es"/>
        </w:rPr>
        <w:t>.</w:t>
      </w:r>
    </w:p>
    <w:p w14:paraId="4E3248F3" w14:textId="77777777" w:rsidR="00463CE2" w:rsidRPr="00CD36DB" w:rsidRDefault="00463CE2">
      <w:pPr>
        <w:rPr>
          <w:rFonts w:ascii="Times New Roman" w:eastAsia="Arial" w:hAnsi="Times New Roman" w:cs="Times New Roman"/>
          <w:sz w:val="24"/>
          <w:szCs w:val="24"/>
        </w:rPr>
      </w:pPr>
    </w:p>
    <w:p w14:paraId="7A25690B" w14:textId="71CC6986" w:rsidR="00463CE2" w:rsidRPr="00CD36DB" w:rsidRDefault="00245737">
      <w:pPr>
        <w:pStyle w:val="Textoindependiente"/>
        <w:ind w:right="125"/>
        <w:jc w:val="both"/>
        <w:rPr>
          <w:rFonts w:ascii="Times New Roman" w:hAnsi="Times New Roman" w:cs="Times New Roman"/>
        </w:rPr>
      </w:pPr>
      <w:r w:rsidRPr="00CD36DB">
        <w:rPr>
          <w:rFonts w:ascii="Times New Roman" w:hAnsi="Times New Roman" w:cs="Times New Roman"/>
          <w:lang w:val="es"/>
        </w:rPr>
        <w:t xml:space="preserve">Advirtió que las actividades seguidas para la gestión, documentación y envío a los </w:t>
      </w:r>
      <w:r w:rsidR="00E27F66" w:rsidRPr="00CD36DB">
        <w:rPr>
          <w:rFonts w:ascii="Times New Roman" w:hAnsi="Times New Roman" w:cs="Times New Roman"/>
          <w:lang w:val="es"/>
        </w:rPr>
        <w:t>clientes no</w:t>
      </w:r>
      <w:r w:rsidRPr="00CD36DB">
        <w:rPr>
          <w:rFonts w:ascii="Times New Roman" w:hAnsi="Times New Roman" w:cs="Times New Roman"/>
          <w:lang w:val="es"/>
        </w:rPr>
        <w:t xml:space="preserve"> constituyen la realización de la venta, pues se trata de </w:t>
      </w:r>
      <w:r w:rsidR="00E27F66" w:rsidRPr="00CD36DB">
        <w:rPr>
          <w:rFonts w:ascii="Times New Roman" w:hAnsi="Times New Roman" w:cs="Times New Roman"/>
          <w:lang w:val="es"/>
        </w:rPr>
        <w:t>gestiones auxiliares</w:t>
      </w:r>
      <w:r w:rsidRPr="00CD36DB">
        <w:rPr>
          <w:rFonts w:ascii="Times New Roman" w:hAnsi="Times New Roman" w:cs="Times New Roman"/>
          <w:lang w:val="es"/>
        </w:rPr>
        <w:t xml:space="preserve"> que se realizan a través del sistema electrónico.</w:t>
      </w:r>
    </w:p>
    <w:p w14:paraId="083BB1E0" w14:textId="77777777" w:rsidR="00463CE2" w:rsidRPr="00CD36DB" w:rsidRDefault="00463CE2">
      <w:pPr>
        <w:rPr>
          <w:rFonts w:ascii="Times New Roman" w:eastAsia="Arial" w:hAnsi="Times New Roman" w:cs="Times New Roman"/>
          <w:sz w:val="24"/>
          <w:szCs w:val="24"/>
        </w:rPr>
      </w:pPr>
    </w:p>
    <w:p w14:paraId="7523A0FC" w14:textId="77777777" w:rsidR="00463CE2" w:rsidRPr="00CD36DB" w:rsidRDefault="00245737">
      <w:pPr>
        <w:pStyle w:val="Ttulo1"/>
        <w:jc w:val="both"/>
        <w:rPr>
          <w:rFonts w:ascii="Times New Roman" w:hAnsi="Times New Roman" w:cs="Times New Roman"/>
          <w:b w:val="0"/>
          <w:bCs w:val="0"/>
        </w:rPr>
      </w:pPr>
      <w:r w:rsidRPr="00CD36DB">
        <w:rPr>
          <w:rFonts w:ascii="Times New Roman" w:hAnsi="Times New Roman" w:cs="Times New Roman"/>
          <w:lang w:val="es"/>
        </w:rPr>
        <w:t>Contestación de la demanda</w:t>
      </w:r>
    </w:p>
    <w:p w14:paraId="72E3CFBE" w14:textId="77777777" w:rsidR="00463CE2" w:rsidRPr="00CD36DB" w:rsidRDefault="00463CE2">
      <w:pPr>
        <w:rPr>
          <w:rFonts w:ascii="Times New Roman" w:eastAsia="Arial" w:hAnsi="Times New Roman" w:cs="Times New Roman"/>
          <w:b/>
          <w:bCs/>
          <w:sz w:val="24"/>
          <w:szCs w:val="24"/>
        </w:rPr>
      </w:pPr>
    </w:p>
    <w:p w14:paraId="28A590F4" w14:textId="77777777" w:rsidR="00463CE2" w:rsidRPr="00CD36DB" w:rsidRDefault="00245737">
      <w:pPr>
        <w:pStyle w:val="Textoindependiente"/>
        <w:ind w:right="124"/>
        <w:jc w:val="both"/>
        <w:rPr>
          <w:rFonts w:ascii="Times New Roman" w:hAnsi="Times New Roman" w:cs="Times New Roman"/>
        </w:rPr>
      </w:pPr>
      <w:r w:rsidRPr="00CD36DB">
        <w:rPr>
          <w:rFonts w:ascii="Times New Roman" w:hAnsi="Times New Roman" w:cs="Times New Roman"/>
          <w:lang w:val="es"/>
        </w:rPr>
        <w:t>La demandada se opuso a las pretensiones de la actora (ff. 370 a 379), por lo siguiente:</w:t>
      </w:r>
    </w:p>
    <w:p w14:paraId="72B6ADE4" w14:textId="77777777" w:rsidR="00463CE2" w:rsidRPr="00CD36DB" w:rsidRDefault="00463CE2">
      <w:pPr>
        <w:rPr>
          <w:rFonts w:ascii="Times New Roman" w:eastAsia="Arial" w:hAnsi="Times New Roman" w:cs="Times New Roman"/>
          <w:sz w:val="24"/>
          <w:szCs w:val="24"/>
        </w:rPr>
      </w:pPr>
    </w:p>
    <w:p w14:paraId="6539E815" w14:textId="27AE236A" w:rsidR="00463CE2" w:rsidRPr="00CD36DB" w:rsidRDefault="00245737">
      <w:pPr>
        <w:pStyle w:val="Textoindependiente"/>
        <w:ind w:right="123"/>
        <w:jc w:val="both"/>
        <w:rPr>
          <w:rFonts w:ascii="Times New Roman" w:hAnsi="Times New Roman" w:cs="Times New Roman"/>
        </w:rPr>
      </w:pPr>
      <w:r w:rsidRPr="00CD36DB">
        <w:rPr>
          <w:rFonts w:ascii="Times New Roman" w:hAnsi="Times New Roman" w:cs="Times New Roman"/>
          <w:lang w:val="es"/>
        </w:rPr>
        <w:t xml:space="preserve">Manifestó que, aunque el domicilio social de la demandante está situado en Cota, la </w:t>
      </w:r>
      <w:r w:rsidR="00E27F66" w:rsidRPr="00CD36DB">
        <w:rPr>
          <w:rFonts w:ascii="Times New Roman" w:hAnsi="Times New Roman" w:cs="Times New Roman"/>
          <w:lang w:val="es"/>
        </w:rPr>
        <w:t>mayoría de</w:t>
      </w:r>
      <w:r w:rsidRPr="00CD36DB">
        <w:rPr>
          <w:rFonts w:ascii="Times New Roman" w:hAnsi="Times New Roman" w:cs="Times New Roman"/>
          <w:lang w:val="es"/>
        </w:rPr>
        <w:t xml:space="preserve"> sus clientes están en Bogotá, ciudad en la que considera que se concretaron </w:t>
      </w:r>
      <w:r w:rsidR="00E27F66" w:rsidRPr="00CD36DB">
        <w:rPr>
          <w:rFonts w:ascii="Times New Roman" w:hAnsi="Times New Roman" w:cs="Times New Roman"/>
          <w:lang w:val="es"/>
        </w:rPr>
        <w:t>las actividades</w:t>
      </w:r>
      <w:r w:rsidRPr="00CD36DB">
        <w:rPr>
          <w:rFonts w:ascii="Times New Roman" w:hAnsi="Times New Roman" w:cs="Times New Roman"/>
          <w:lang w:val="es"/>
        </w:rPr>
        <w:t xml:space="preserve"> comerciales.</w:t>
      </w:r>
    </w:p>
    <w:p w14:paraId="798948F7" w14:textId="77777777" w:rsidR="00463CE2" w:rsidRPr="00CD36DB" w:rsidRDefault="00463CE2">
      <w:pPr>
        <w:rPr>
          <w:rFonts w:ascii="Times New Roman" w:eastAsia="Arial" w:hAnsi="Times New Roman" w:cs="Times New Roman"/>
          <w:sz w:val="24"/>
          <w:szCs w:val="24"/>
        </w:rPr>
      </w:pPr>
    </w:p>
    <w:p w14:paraId="22C115AE" w14:textId="298D852F" w:rsidR="00463CE2" w:rsidRPr="00CD36DB" w:rsidRDefault="00245737">
      <w:pPr>
        <w:pStyle w:val="Textoindependiente"/>
        <w:ind w:right="113"/>
        <w:jc w:val="both"/>
        <w:rPr>
          <w:rFonts w:ascii="Times New Roman" w:hAnsi="Times New Roman" w:cs="Times New Roman"/>
        </w:rPr>
      </w:pPr>
      <w:r w:rsidRPr="00CD36DB">
        <w:rPr>
          <w:rFonts w:ascii="Times New Roman" w:hAnsi="Times New Roman" w:cs="Times New Roman"/>
          <w:lang w:val="es"/>
        </w:rPr>
        <w:t xml:space="preserve">Afirmó que las pruebas recaudadas llevan a entender que todo el proceso de pre </w:t>
      </w:r>
      <w:r w:rsidR="00E27F66" w:rsidRPr="00CD36DB">
        <w:rPr>
          <w:rFonts w:ascii="Times New Roman" w:hAnsi="Times New Roman" w:cs="Times New Roman"/>
          <w:lang w:val="es"/>
        </w:rPr>
        <w:t>venta y</w:t>
      </w:r>
      <w:r w:rsidRPr="00CD36DB">
        <w:rPr>
          <w:rFonts w:ascii="Times New Roman" w:hAnsi="Times New Roman" w:cs="Times New Roman"/>
          <w:lang w:val="es"/>
        </w:rPr>
        <w:t xml:space="preserve"> de post venta se realizó en Bogotá, con excepción de las actividades </w:t>
      </w:r>
      <w:r w:rsidR="00E27F66" w:rsidRPr="00CD36DB">
        <w:rPr>
          <w:rFonts w:ascii="Times New Roman" w:hAnsi="Times New Roman" w:cs="Times New Roman"/>
          <w:lang w:val="es"/>
        </w:rPr>
        <w:t>relativas a</w:t>
      </w:r>
      <w:r w:rsidRPr="00CD36DB">
        <w:rPr>
          <w:rFonts w:ascii="Times New Roman" w:hAnsi="Times New Roman" w:cs="Times New Roman"/>
          <w:lang w:val="es"/>
        </w:rPr>
        <w:t xml:space="preserve"> expedición de la factura y el envío de la mercancía.  Recalcó que a esta ciudad se desplazaron los asesores de las cuentas para las respectivas negociaciones, lo cual estima que lleva a aplicar la </w:t>
      </w:r>
      <w:r w:rsidR="00E27F66" w:rsidRPr="00CD36DB">
        <w:rPr>
          <w:rFonts w:ascii="Times New Roman" w:hAnsi="Times New Roman" w:cs="Times New Roman"/>
          <w:lang w:val="es"/>
        </w:rPr>
        <w:t>presunción establecida</w:t>
      </w:r>
      <w:r w:rsidRPr="00CD36DB">
        <w:rPr>
          <w:rFonts w:ascii="Times New Roman" w:hAnsi="Times New Roman" w:cs="Times New Roman"/>
          <w:lang w:val="es"/>
        </w:rPr>
        <w:t xml:space="preserve"> en el artículo 52 del Decreto 352 de 2002, sobre ingresos obtenidos </w:t>
      </w:r>
      <w:r w:rsidR="00E27F66" w:rsidRPr="00CD36DB">
        <w:rPr>
          <w:rFonts w:ascii="Times New Roman" w:hAnsi="Times New Roman" w:cs="Times New Roman"/>
          <w:lang w:val="es"/>
        </w:rPr>
        <w:t>por ventas</w:t>
      </w:r>
      <w:r w:rsidRPr="00CD36DB">
        <w:rPr>
          <w:rFonts w:ascii="Times New Roman" w:hAnsi="Times New Roman" w:cs="Times New Roman"/>
          <w:lang w:val="es"/>
        </w:rPr>
        <w:t xml:space="preserve"> a través de agentes en el distrito.</w:t>
      </w:r>
    </w:p>
    <w:p w14:paraId="6469880E" w14:textId="77777777" w:rsidR="00463CE2" w:rsidRPr="00CD36DB" w:rsidRDefault="00463CE2">
      <w:pPr>
        <w:rPr>
          <w:rFonts w:ascii="Times New Roman" w:eastAsia="Arial" w:hAnsi="Times New Roman" w:cs="Times New Roman"/>
          <w:sz w:val="24"/>
          <w:szCs w:val="24"/>
        </w:rPr>
      </w:pPr>
    </w:p>
    <w:p w14:paraId="3F9564BE" w14:textId="562DBCD5" w:rsidR="00463CE2" w:rsidRPr="00CD36DB" w:rsidRDefault="00245737">
      <w:pPr>
        <w:pStyle w:val="Textoindependiente"/>
        <w:ind w:right="116"/>
        <w:jc w:val="both"/>
        <w:rPr>
          <w:rFonts w:ascii="Times New Roman" w:hAnsi="Times New Roman" w:cs="Times New Roman"/>
        </w:rPr>
      </w:pPr>
      <w:r w:rsidRPr="00CD36DB">
        <w:rPr>
          <w:rFonts w:ascii="Times New Roman" w:hAnsi="Times New Roman" w:cs="Times New Roman"/>
          <w:lang w:val="es"/>
        </w:rPr>
        <w:t xml:space="preserve">Precisó que según la sentencia de la Corte Constitucional C-121 de </w:t>
      </w:r>
      <w:r w:rsidR="00E27F66" w:rsidRPr="00CD36DB">
        <w:rPr>
          <w:rFonts w:ascii="Times New Roman" w:hAnsi="Times New Roman" w:cs="Times New Roman"/>
          <w:lang w:val="es"/>
        </w:rPr>
        <w:t>2006 (</w:t>
      </w:r>
      <w:r w:rsidRPr="00CD36DB">
        <w:rPr>
          <w:rFonts w:ascii="Times New Roman" w:hAnsi="Times New Roman" w:cs="Times New Roman"/>
          <w:lang w:val="es"/>
        </w:rPr>
        <w:t>M.P. Marco Gerardo Monroy Cabra), la actividad comercial debe gravarse en</w:t>
      </w:r>
      <w:r w:rsidRPr="00CD36DB">
        <w:rPr>
          <w:rFonts w:ascii="Times New Roman" w:hAnsi="Times New Roman" w:cs="Times New Roman"/>
          <w:spacing w:val="3"/>
          <w:lang w:val="es"/>
        </w:rPr>
        <w:t xml:space="preserve"> </w:t>
      </w:r>
      <w:r w:rsidR="00E27F66" w:rsidRPr="00CD36DB">
        <w:rPr>
          <w:rFonts w:ascii="Times New Roman" w:hAnsi="Times New Roman" w:cs="Times New Roman"/>
          <w:spacing w:val="3"/>
          <w:lang w:val="es"/>
        </w:rPr>
        <w:t xml:space="preserve">la </w:t>
      </w:r>
      <w:r w:rsidR="00E27F66" w:rsidRPr="00CD36DB">
        <w:rPr>
          <w:rFonts w:ascii="Times New Roman" w:hAnsi="Times New Roman" w:cs="Times New Roman"/>
          <w:lang w:val="es"/>
        </w:rPr>
        <w:t>entidad</w:t>
      </w:r>
      <w:r w:rsidRPr="00CD36DB">
        <w:rPr>
          <w:rFonts w:ascii="Times New Roman" w:hAnsi="Times New Roman" w:cs="Times New Roman"/>
          <w:lang w:val="es"/>
        </w:rPr>
        <w:t xml:space="preserve"> territorial en la cual el contribuyente se beneficia de la infraestructura, </w:t>
      </w:r>
      <w:r w:rsidR="00E27F66" w:rsidRPr="00CD36DB">
        <w:rPr>
          <w:rFonts w:ascii="Times New Roman" w:hAnsi="Times New Roman" w:cs="Times New Roman"/>
          <w:lang w:val="es"/>
        </w:rPr>
        <w:t>del mercado</w:t>
      </w:r>
      <w:r w:rsidRPr="00CD36DB">
        <w:rPr>
          <w:rFonts w:ascii="Times New Roman" w:hAnsi="Times New Roman" w:cs="Times New Roman"/>
          <w:lang w:val="es"/>
        </w:rPr>
        <w:t xml:space="preserve"> y de los demás recursos físicos.</w:t>
      </w:r>
    </w:p>
    <w:p w14:paraId="614696D3" w14:textId="77777777" w:rsidR="00463CE2" w:rsidRPr="00CD36DB" w:rsidRDefault="00463CE2">
      <w:pPr>
        <w:rPr>
          <w:rFonts w:ascii="Times New Roman" w:eastAsia="Arial" w:hAnsi="Times New Roman" w:cs="Times New Roman"/>
          <w:sz w:val="24"/>
          <w:szCs w:val="24"/>
        </w:rPr>
      </w:pPr>
    </w:p>
    <w:p w14:paraId="6C1519A1" w14:textId="53A921EF" w:rsidR="00463CE2" w:rsidRPr="00CD36DB" w:rsidRDefault="00245737">
      <w:pPr>
        <w:pStyle w:val="Textoindependiente"/>
        <w:ind w:right="119"/>
        <w:jc w:val="both"/>
        <w:rPr>
          <w:rFonts w:ascii="Times New Roman" w:hAnsi="Times New Roman" w:cs="Times New Roman"/>
        </w:rPr>
      </w:pPr>
      <w:r w:rsidRPr="00CD36DB">
        <w:rPr>
          <w:rFonts w:ascii="Times New Roman" w:hAnsi="Times New Roman" w:cs="Times New Roman"/>
          <w:lang w:val="es"/>
        </w:rPr>
        <w:t xml:space="preserve">Recalcó que, por efecto del cambio de domicilio, la demandante redujo drásticamente la </w:t>
      </w:r>
      <w:r w:rsidR="00E27F66" w:rsidRPr="00CD36DB">
        <w:rPr>
          <w:rFonts w:ascii="Times New Roman" w:hAnsi="Times New Roman" w:cs="Times New Roman"/>
          <w:lang w:val="es"/>
        </w:rPr>
        <w:t>base gravable</w:t>
      </w:r>
      <w:r w:rsidRPr="00CD36DB">
        <w:rPr>
          <w:rFonts w:ascii="Times New Roman" w:hAnsi="Times New Roman" w:cs="Times New Roman"/>
          <w:lang w:val="es"/>
        </w:rPr>
        <w:t xml:space="preserve"> del ICA en sus declaraciones presentadas a partir del 2.º </w:t>
      </w:r>
      <w:r w:rsidR="00E27F66" w:rsidRPr="00CD36DB">
        <w:rPr>
          <w:rFonts w:ascii="Times New Roman" w:hAnsi="Times New Roman" w:cs="Times New Roman"/>
          <w:lang w:val="es"/>
        </w:rPr>
        <w:t>bimestre de</w:t>
      </w:r>
      <w:r w:rsidRPr="00CD36DB">
        <w:rPr>
          <w:rFonts w:ascii="Times New Roman" w:hAnsi="Times New Roman" w:cs="Times New Roman"/>
          <w:lang w:val="es"/>
        </w:rPr>
        <w:t xml:space="preserve"> 2006, pese a que no cambió sus estrategias de venta.</w:t>
      </w:r>
    </w:p>
    <w:p w14:paraId="008534CC" w14:textId="77777777" w:rsidR="00463CE2" w:rsidRPr="00CD36DB" w:rsidRDefault="00463CE2">
      <w:pPr>
        <w:jc w:val="both"/>
        <w:rPr>
          <w:rFonts w:ascii="Times New Roman" w:hAnsi="Times New Roman" w:cs="Times New Roman"/>
          <w:sz w:val="24"/>
          <w:szCs w:val="24"/>
        </w:rPr>
        <w:sectPr w:rsidR="00463CE2" w:rsidRPr="00CD36DB" w:rsidSect="00CD36DB">
          <w:pgSz w:w="12240" w:h="15840" w:code="1"/>
          <w:pgMar w:top="1134" w:right="1134" w:bottom="1134" w:left="1418" w:header="720" w:footer="720" w:gutter="0"/>
          <w:cols w:space="720"/>
          <w:docGrid w:linePitch="299"/>
        </w:sectPr>
      </w:pPr>
    </w:p>
    <w:p w14:paraId="11471A9A" w14:textId="77777777" w:rsidR="00463CE2" w:rsidRPr="00CD36DB" w:rsidRDefault="00463CE2">
      <w:pPr>
        <w:rPr>
          <w:rFonts w:ascii="Times New Roman" w:eastAsia="Arial" w:hAnsi="Times New Roman" w:cs="Times New Roman"/>
          <w:sz w:val="24"/>
          <w:szCs w:val="24"/>
        </w:rPr>
      </w:pPr>
    </w:p>
    <w:p w14:paraId="6FD44B07" w14:textId="77777777" w:rsidR="00463CE2" w:rsidRPr="00CD36DB" w:rsidRDefault="00463CE2">
      <w:pPr>
        <w:rPr>
          <w:rFonts w:ascii="Times New Roman" w:eastAsia="Arial" w:hAnsi="Times New Roman" w:cs="Times New Roman"/>
          <w:sz w:val="24"/>
          <w:szCs w:val="24"/>
        </w:rPr>
      </w:pPr>
    </w:p>
    <w:p w14:paraId="3E4F4304" w14:textId="77777777" w:rsidR="00463CE2" w:rsidRPr="00CD36DB" w:rsidRDefault="00463CE2">
      <w:pPr>
        <w:spacing w:before="7"/>
        <w:rPr>
          <w:rFonts w:ascii="Times New Roman" w:eastAsia="Arial" w:hAnsi="Times New Roman" w:cs="Times New Roman"/>
          <w:sz w:val="24"/>
          <w:szCs w:val="24"/>
        </w:rPr>
      </w:pPr>
    </w:p>
    <w:p w14:paraId="01CACF3E" w14:textId="616E93F9" w:rsidR="00463CE2" w:rsidRPr="00CD36DB" w:rsidRDefault="00245737">
      <w:pPr>
        <w:pStyle w:val="Textoindependiente"/>
        <w:spacing w:before="69"/>
        <w:ind w:right="104"/>
        <w:jc w:val="both"/>
        <w:rPr>
          <w:rFonts w:ascii="Times New Roman" w:hAnsi="Times New Roman" w:cs="Times New Roman"/>
        </w:rPr>
      </w:pPr>
      <w:r w:rsidRPr="00CD36DB">
        <w:rPr>
          <w:rFonts w:ascii="Times New Roman" w:hAnsi="Times New Roman" w:cs="Times New Roman"/>
          <w:lang w:val="es"/>
        </w:rPr>
        <w:t xml:space="preserve">Invocó a su favor apartes de la sentencia de esta Sección del 29 </w:t>
      </w:r>
      <w:r w:rsidR="00E27F66" w:rsidRPr="00CD36DB">
        <w:rPr>
          <w:rFonts w:ascii="Times New Roman" w:hAnsi="Times New Roman" w:cs="Times New Roman"/>
          <w:lang w:val="es"/>
        </w:rPr>
        <w:t>de septiembre</w:t>
      </w:r>
      <w:r w:rsidRPr="00CD36DB">
        <w:rPr>
          <w:rFonts w:ascii="Times New Roman" w:hAnsi="Times New Roman" w:cs="Times New Roman"/>
          <w:lang w:val="es"/>
        </w:rPr>
        <w:t xml:space="preserve"> de 2011 (</w:t>
      </w:r>
      <w:proofErr w:type="spellStart"/>
      <w:r w:rsidRPr="00CD36DB">
        <w:rPr>
          <w:rFonts w:ascii="Times New Roman" w:hAnsi="Times New Roman" w:cs="Times New Roman"/>
          <w:lang w:val="es"/>
        </w:rPr>
        <w:t>exp</w:t>
      </w:r>
      <w:proofErr w:type="spellEnd"/>
      <w:r w:rsidRPr="00CD36DB">
        <w:rPr>
          <w:rFonts w:ascii="Times New Roman" w:hAnsi="Times New Roman" w:cs="Times New Roman"/>
          <w:lang w:val="es"/>
        </w:rPr>
        <w:t>. 18413, CP: Martha Teresa Briceño de Valencia).</w:t>
      </w:r>
    </w:p>
    <w:p w14:paraId="5C7D2862" w14:textId="77777777" w:rsidR="00463CE2" w:rsidRPr="00CD36DB" w:rsidRDefault="00463CE2">
      <w:pPr>
        <w:rPr>
          <w:rFonts w:ascii="Times New Roman" w:eastAsia="Arial" w:hAnsi="Times New Roman" w:cs="Times New Roman"/>
          <w:sz w:val="24"/>
          <w:szCs w:val="24"/>
        </w:rPr>
      </w:pPr>
    </w:p>
    <w:p w14:paraId="48830D8C" w14:textId="77777777" w:rsidR="00463CE2" w:rsidRPr="00CD36DB" w:rsidRDefault="00245737">
      <w:pPr>
        <w:pStyle w:val="Ttulo1"/>
        <w:jc w:val="both"/>
        <w:rPr>
          <w:rFonts w:ascii="Times New Roman" w:hAnsi="Times New Roman" w:cs="Times New Roman"/>
          <w:b w:val="0"/>
          <w:bCs w:val="0"/>
        </w:rPr>
      </w:pPr>
      <w:r w:rsidRPr="00CD36DB">
        <w:rPr>
          <w:rFonts w:ascii="Times New Roman" w:hAnsi="Times New Roman" w:cs="Times New Roman"/>
          <w:lang w:val="es"/>
        </w:rPr>
        <w:t>Sentencia apelada</w:t>
      </w:r>
    </w:p>
    <w:p w14:paraId="66AB8B73" w14:textId="77777777" w:rsidR="00463CE2" w:rsidRPr="00CD36DB" w:rsidRDefault="00463CE2">
      <w:pPr>
        <w:rPr>
          <w:rFonts w:ascii="Times New Roman" w:eastAsia="Arial" w:hAnsi="Times New Roman" w:cs="Times New Roman"/>
          <w:b/>
          <w:bCs/>
          <w:sz w:val="24"/>
          <w:szCs w:val="24"/>
        </w:rPr>
      </w:pPr>
    </w:p>
    <w:p w14:paraId="5E11A194" w14:textId="3D9845C6" w:rsidR="00463CE2" w:rsidRPr="00CD36DB" w:rsidRDefault="00245737">
      <w:pPr>
        <w:pStyle w:val="Textoindependiente"/>
        <w:ind w:right="104"/>
        <w:jc w:val="both"/>
        <w:rPr>
          <w:rFonts w:ascii="Times New Roman" w:hAnsi="Times New Roman" w:cs="Times New Roman"/>
        </w:rPr>
      </w:pPr>
      <w:r w:rsidRPr="00CD36DB">
        <w:rPr>
          <w:rFonts w:ascii="Times New Roman" w:hAnsi="Times New Roman" w:cs="Times New Roman"/>
          <w:lang w:val="es"/>
        </w:rPr>
        <w:t xml:space="preserve">Mediante sentencia del 06 de abril de 2017, el Tribunal Administrativo de </w:t>
      </w:r>
      <w:r w:rsidR="00E27F66" w:rsidRPr="00CD36DB">
        <w:rPr>
          <w:rFonts w:ascii="Times New Roman" w:hAnsi="Times New Roman" w:cs="Times New Roman"/>
          <w:lang w:val="es"/>
        </w:rPr>
        <w:t>Cundinamarca, Sección</w:t>
      </w:r>
      <w:r w:rsidRPr="00CD36DB">
        <w:rPr>
          <w:rFonts w:ascii="Times New Roman" w:hAnsi="Times New Roman" w:cs="Times New Roman"/>
          <w:lang w:val="es"/>
        </w:rPr>
        <w:t xml:space="preserve"> Cuarta, Subsección B, accedió a las pretensiones de la demanda (ff. 477 a 504</w:t>
      </w:r>
      <w:proofErr w:type="gramStart"/>
      <w:r w:rsidRPr="00CD36DB">
        <w:rPr>
          <w:rFonts w:ascii="Times New Roman" w:hAnsi="Times New Roman" w:cs="Times New Roman"/>
          <w:lang w:val="es"/>
        </w:rPr>
        <w:t>) ,</w:t>
      </w:r>
      <w:proofErr w:type="gramEnd"/>
      <w:r w:rsidRPr="00CD36DB">
        <w:rPr>
          <w:rFonts w:ascii="Times New Roman" w:hAnsi="Times New Roman" w:cs="Times New Roman"/>
          <w:lang w:val="es"/>
        </w:rPr>
        <w:t xml:space="preserve"> para lo cual:</w:t>
      </w:r>
    </w:p>
    <w:p w14:paraId="65708CB2" w14:textId="77777777" w:rsidR="00463CE2" w:rsidRPr="00CD36DB" w:rsidRDefault="00463CE2">
      <w:pPr>
        <w:spacing w:before="1"/>
        <w:rPr>
          <w:rFonts w:ascii="Times New Roman" w:eastAsia="Arial" w:hAnsi="Times New Roman" w:cs="Times New Roman"/>
          <w:sz w:val="24"/>
          <w:szCs w:val="24"/>
        </w:rPr>
      </w:pPr>
    </w:p>
    <w:p w14:paraId="29D27204" w14:textId="25064FB8" w:rsidR="00463CE2" w:rsidRPr="00CD36DB" w:rsidRDefault="00245737">
      <w:pPr>
        <w:pStyle w:val="Textoindependiente"/>
        <w:ind w:right="101"/>
        <w:jc w:val="both"/>
        <w:rPr>
          <w:rFonts w:ascii="Times New Roman" w:hAnsi="Times New Roman" w:cs="Times New Roman"/>
        </w:rPr>
      </w:pPr>
      <w:r w:rsidRPr="00CD36DB">
        <w:rPr>
          <w:rFonts w:ascii="Times New Roman" w:hAnsi="Times New Roman" w:cs="Times New Roman"/>
          <w:lang w:val="es"/>
        </w:rPr>
        <w:t xml:space="preserve">Determinó, a partir de las pruebas aportadas, que la demandante </w:t>
      </w:r>
      <w:r w:rsidR="00E27F66" w:rsidRPr="00CD36DB">
        <w:rPr>
          <w:rFonts w:ascii="Times New Roman" w:hAnsi="Times New Roman" w:cs="Times New Roman"/>
          <w:lang w:val="es"/>
        </w:rPr>
        <w:t>comercializa productos</w:t>
      </w:r>
      <w:r w:rsidRPr="00CD36DB">
        <w:rPr>
          <w:rFonts w:ascii="Times New Roman" w:hAnsi="Times New Roman" w:cs="Times New Roman"/>
          <w:lang w:val="es"/>
        </w:rPr>
        <w:t xml:space="preserve"> de consumo masivo, que tiene fijado el domicilio principal </w:t>
      </w:r>
      <w:r w:rsidR="00E27F66" w:rsidRPr="00CD36DB">
        <w:rPr>
          <w:rFonts w:ascii="Times New Roman" w:hAnsi="Times New Roman" w:cs="Times New Roman"/>
          <w:lang w:val="es"/>
        </w:rPr>
        <w:t>en el</w:t>
      </w:r>
      <w:r w:rsidRPr="00CD36DB">
        <w:rPr>
          <w:rFonts w:ascii="Times New Roman" w:hAnsi="Times New Roman" w:cs="Times New Roman"/>
          <w:lang w:val="es"/>
        </w:rPr>
        <w:t xml:space="preserve"> municipio de Cota, pero que su portafolio de clientes tiene compradores ubicados en ciudades como Bogotá y Cali.  También, que el proceso de venta se lleva a cabo desde Cota, </w:t>
      </w:r>
      <w:r w:rsidR="00E27F66" w:rsidRPr="00CD36DB">
        <w:rPr>
          <w:rFonts w:ascii="Times New Roman" w:hAnsi="Times New Roman" w:cs="Times New Roman"/>
          <w:lang w:val="es"/>
        </w:rPr>
        <w:t>localidad en</w:t>
      </w:r>
      <w:r w:rsidRPr="00CD36DB">
        <w:rPr>
          <w:rFonts w:ascii="Times New Roman" w:hAnsi="Times New Roman" w:cs="Times New Roman"/>
          <w:lang w:val="es"/>
        </w:rPr>
        <w:t xml:space="preserve"> la cual se toman los pedidos a través de una plataforma tecnológica, que varía de acuerdo con lo requerido por cada comprador.</w:t>
      </w:r>
    </w:p>
    <w:p w14:paraId="096CC5C5" w14:textId="77777777" w:rsidR="00463CE2" w:rsidRPr="00CD36DB" w:rsidRDefault="00463CE2">
      <w:pPr>
        <w:rPr>
          <w:rFonts w:ascii="Times New Roman" w:eastAsia="Arial" w:hAnsi="Times New Roman" w:cs="Times New Roman"/>
          <w:sz w:val="24"/>
          <w:szCs w:val="24"/>
        </w:rPr>
      </w:pPr>
    </w:p>
    <w:p w14:paraId="2CEBC087" w14:textId="4384AB5A" w:rsidR="00463CE2" w:rsidRPr="00CD36DB" w:rsidRDefault="00245737">
      <w:pPr>
        <w:pStyle w:val="Textoindependiente"/>
        <w:ind w:right="98"/>
        <w:jc w:val="both"/>
        <w:rPr>
          <w:rFonts w:ascii="Times New Roman" w:hAnsi="Times New Roman" w:cs="Times New Roman"/>
        </w:rPr>
      </w:pPr>
      <w:r w:rsidRPr="00CD36DB">
        <w:rPr>
          <w:rFonts w:ascii="Times New Roman" w:hAnsi="Times New Roman" w:cs="Times New Roman"/>
          <w:lang w:val="es"/>
        </w:rPr>
        <w:t xml:space="preserve">Identificó que, pese a que los asesores comerciales tienen la facultad de aconsejar </w:t>
      </w:r>
      <w:r w:rsidR="00E27F66" w:rsidRPr="00CD36DB">
        <w:rPr>
          <w:rFonts w:ascii="Times New Roman" w:hAnsi="Times New Roman" w:cs="Times New Roman"/>
          <w:lang w:val="es"/>
        </w:rPr>
        <w:t>respecto del</w:t>
      </w:r>
      <w:r w:rsidRPr="00CD36DB">
        <w:rPr>
          <w:rFonts w:ascii="Times New Roman" w:hAnsi="Times New Roman" w:cs="Times New Roman"/>
          <w:lang w:val="es"/>
        </w:rPr>
        <w:t xml:space="preserve"> precio y de los productos, dicha gestión no es por </w:t>
      </w:r>
      <w:r w:rsidR="00E27F66" w:rsidRPr="00CD36DB">
        <w:rPr>
          <w:rFonts w:ascii="Times New Roman" w:hAnsi="Times New Roman" w:cs="Times New Roman"/>
          <w:lang w:val="es"/>
        </w:rPr>
        <w:t>sí sola</w:t>
      </w:r>
      <w:r w:rsidRPr="00CD36DB">
        <w:rPr>
          <w:rFonts w:ascii="Times New Roman" w:hAnsi="Times New Roman" w:cs="Times New Roman"/>
          <w:lang w:val="es"/>
        </w:rPr>
        <w:t xml:space="preserve"> una actividad comercial, ni implica la aceptación del precio.  Estimó que la venta solo ocurre cuando se expide la factura de venta después de que se acepta el precio del producto; y que el lugar </w:t>
      </w:r>
      <w:r w:rsidR="00E27F66" w:rsidRPr="00CD36DB">
        <w:rPr>
          <w:rFonts w:ascii="Times New Roman" w:hAnsi="Times New Roman" w:cs="Times New Roman"/>
          <w:lang w:val="es"/>
        </w:rPr>
        <w:t>donde se</w:t>
      </w:r>
      <w:r w:rsidRPr="00CD36DB">
        <w:rPr>
          <w:rFonts w:ascii="Times New Roman" w:hAnsi="Times New Roman" w:cs="Times New Roman"/>
          <w:lang w:val="es"/>
        </w:rPr>
        <w:t xml:space="preserve"> consolida la venta es el indicativo para establecer la </w:t>
      </w:r>
      <w:r w:rsidR="00E27F66" w:rsidRPr="00CD36DB">
        <w:rPr>
          <w:rFonts w:ascii="Times New Roman" w:hAnsi="Times New Roman" w:cs="Times New Roman"/>
          <w:lang w:val="es"/>
        </w:rPr>
        <w:t>territorialidad del</w:t>
      </w:r>
      <w:r w:rsidRPr="00CD36DB">
        <w:rPr>
          <w:rFonts w:ascii="Times New Roman" w:hAnsi="Times New Roman" w:cs="Times New Roman"/>
          <w:lang w:val="es"/>
        </w:rPr>
        <w:t xml:space="preserve"> tributo.</w:t>
      </w:r>
    </w:p>
    <w:p w14:paraId="6B45CA17" w14:textId="77777777" w:rsidR="00463CE2" w:rsidRPr="00CD36DB" w:rsidRDefault="00463CE2">
      <w:pPr>
        <w:rPr>
          <w:rFonts w:ascii="Times New Roman" w:eastAsia="Arial" w:hAnsi="Times New Roman" w:cs="Times New Roman"/>
          <w:sz w:val="24"/>
          <w:szCs w:val="24"/>
        </w:rPr>
      </w:pPr>
    </w:p>
    <w:p w14:paraId="6F66C665" w14:textId="5521244A" w:rsidR="00463CE2" w:rsidRPr="00CD36DB" w:rsidRDefault="00245737">
      <w:pPr>
        <w:pStyle w:val="Textoindependiente"/>
        <w:ind w:right="105"/>
        <w:jc w:val="both"/>
        <w:rPr>
          <w:rFonts w:ascii="Times New Roman" w:hAnsi="Times New Roman" w:cs="Times New Roman"/>
        </w:rPr>
      </w:pPr>
      <w:r w:rsidRPr="00CD36DB">
        <w:rPr>
          <w:rFonts w:ascii="Times New Roman" w:hAnsi="Times New Roman" w:cs="Times New Roman"/>
          <w:lang w:val="es"/>
        </w:rPr>
        <w:t xml:space="preserve">Advirtió que, pese a que los productos se entregaron en Bogotá, la </w:t>
      </w:r>
      <w:r w:rsidR="00E27F66" w:rsidRPr="00CD36DB">
        <w:rPr>
          <w:rFonts w:ascii="Times New Roman" w:hAnsi="Times New Roman" w:cs="Times New Roman"/>
          <w:lang w:val="es"/>
        </w:rPr>
        <w:t>negociación se</w:t>
      </w:r>
      <w:r w:rsidRPr="00CD36DB">
        <w:rPr>
          <w:rFonts w:ascii="Times New Roman" w:hAnsi="Times New Roman" w:cs="Times New Roman"/>
          <w:lang w:val="es"/>
        </w:rPr>
        <w:t xml:space="preserve"> concretó en el municipio de Cota y que fue ese lugar en el que el demandante registró el establecimiento de comercio y liquidó y pago </w:t>
      </w:r>
      <w:r w:rsidR="00E27F66" w:rsidRPr="00CD36DB">
        <w:rPr>
          <w:rFonts w:ascii="Times New Roman" w:hAnsi="Times New Roman" w:cs="Times New Roman"/>
          <w:lang w:val="es"/>
        </w:rPr>
        <w:t>el impuesto</w:t>
      </w:r>
      <w:r w:rsidRPr="00CD36DB">
        <w:rPr>
          <w:rFonts w:ascii="Times New Roman" w:hAnsi="Times New Roman" w:cs="Times New Roman"/>
          <w:lang w:val="es"/>
        </w:rPr>
        <w:t>.</w:t>
      </w:r>
    </w:p>
    <w:p w14:paraId="54D5FC36" w14:textId="77777777" w:rsidR="00463CE2" w:rsidRPr="00CD36DB" w:rsidRDefault="00463CE2">
      <w:pPr>
        <w:rPr>
          <w:rFonts w:ascii="Times New Roman" w:eastAsia="Arial" w:hAnsi="Times New Roman" w:cs="Times New Roman"/>
          <w:sz w:val="24"/>
          <w:szCs w:val="24"/>
        </w:rPr>
      </w:pPr>
    </w:p>
    <w:p w14:paraId="303996A2" w14:textId="1A0FA4B1" w:rsidR="00463CE2" w:rsidRPr="00CD36DB" w:rsidRDefault="00245737">
      <w:pPr>
        <w:pStyle w:val="Textoindependiente"/>
        <w:ind w:right="105"/>
        <w:jc w:val="both"/>
        <w:rPr>
          <w:rFonts w:ascii="Times New Roman" w:hAnsi="Times New Roman" w:cs="Times New Roman"/>
        </w:rPr>
      </w:pPr>
      <w:r w:rsidRPr="00CD36DB">
        <w:rPr>
          <w:rFonts w:ascii="Times New Roman" w:hAnsi="Times New Roman" w:cs="Times New Roman"/>
          <w:lang w:val="es"/>
        </w:rPr>
        <w:t xml:space="preserve">Concluyó que la Administración no logró demostrar que la actividad de comercialización se </w:t>
      </w:r>
      <w:r w:rsidR="00E27F66" w:rsidRPr="00CD36DB">
        <w:rPr>
          <w:rFonts w:ascii="Times New Roman" w:hAnsi="Times New Roman" w:cs="Times New Roman"/>
          <w:lang w:val="es"/>
        </w:rPr>
        <w:t>realizó en</w:t>
      </w:r>
      <w:r w:rsidRPr="00CD36DB">
        <w:rPr>
          <w:rFonts w:ascii="Times New Roman" w:hAnsi="Times New Roman" w:cs="Times New Roman"/>
          <w:lang w:val="es"/>
        </w:rPr>
        <w:t xml:space="preserve"> la jurisdicción de Bogotá, por lo cual resultaban nulos los </w:t>
      </w:r>
      <w:r w:rsidR="00E27F66" w:rsidRPr="00CD36DB">
        <w:rPr>
          <w:rFonts w:ascii="Times New Roman" w:hAnsi="Times New Roman" w:cs="Times New Roman"/>
          <w:lang w:val="es"/>
        </w:rPr>
        <w:t>actos acusados</w:t>
      </w:r>
      <w:r w:rsidRPr="00CD36DB">
        <w:rPr>
          <w:rFonts w:ascii="Times New Roman" w:hAnsi="Times New Roman" w:cs="Times New Roman"/>
          <w:lang w:val="es"/>
        </w:rPr>
        <w:t>.</w:t>
      </w:r>
    </w:p>
    <w:p w14:paraId="2C5497B9" w14:textId="77777777" w:rsidR="00463CE2" w:rsidRPr="00CD36DB" w:rsidRDefault="00463CE2">
      <w:pPr>
        <w:spacing w:before="1"/>
        <w:rPr>
          <w:rFonts w:ascii="Times New Roman" w:eastAsia="Arial" w:hAnsi="Times New Roman" w:cs="Times New Roman"/>
          <w:sz w:val="24"/>
          <w:szCs w:val="24"/>
        </w:rPr>
      </w:pPr>
    </w:p>
    <w:p w14:paraId="444D6A00" w14:textId="77777777" w:rsidR="00463CE2" w:rsidRPr="00CD36DB" w:rsidRDefault="00245737">
      <w:pPr>
        <w:pStyle w:val="Ttulo1"/>
        <w:jc w:val="both"/>
        <w:rPr>
          <w:rFonts w:ascii="Times New Roman" w:hAnsi="Times New Roman" w:cs="Times New Roman"/>
          <w:b w:val="0"/>
          <w:bCs w:val="0"/>
        </w:rPr>
      </w:pPr>
      <w:r w:rsidRPr="00CD36DB">
        <w:rPr>
          <w:rFonts w:ascii="Times New Roman" w:hAnsi="Times New Roman" w:cs="Times New Roman"/>
          <w:lang w:val="es"/>
        </w:rPr>
        <w:t>Recurso de apelación</w:t>
      </w:r>
    </w:p>
    <w:p w14:paraId="68E85B03" w14:textId="77777777" w:rsidR="00463CE2" w:rsidRPr="00CD36DB" w:rsidRDefault="00463CE2">
      <w:pPr>
        <w:rPr>
          <w:rFonts w:ascii="Times New Roman" w:eastAsia="Arial" w:hAnsi="Times New Roman" w:cs="Times New Roman"/>
          <w:b/>
          <w:bCs/>
          <w:sz w:val="24"/>
          <w:szCs w:val="24"/>
        </w:rPr>
      </w:pPr>
    </w:p>
    <w:p w14:paraId="34F87A33" w14:textId="294D5C31" w:rsidR="00463CE2" w:rsidRPr="00CD36DB" w:rsidRDefault="00245737">
      <w:pPr>
        <w:pStyle w:val="Textoindependiente"/>
        <w:ind w:right="106"/>
        <w:jc w:val="both"/>
        <w:rPr>
          <w:rFonts w:ascii="Times New Roman" w:hAnsi="Times New Roman" w:cs="Times New Roman"/>
        </w:rPr>
      </w:pPr>
      <w:r w:rsidRPr="00CD36DB">
        <w:rPr>
          <w:rFonts w:ascii="Times New Roman" w:hAnsi="Times New Roman" w:cs="Times New Roman"/>
          <w:lang w:val="es"/>
        </w:rPr>
        <w:t xml:space="preserve">La demandada apeló la decisión del tribunal y solicitó que se revoque </w:t>
      </w:r>
      <w:r w:rsidR="00E27F66" w:rsidRPr="00CD36DB">
        <w:rPr>
          <w:rFonts w:ascii="Times New Roman" w:hAnsi="Times New Roman" w:cs="Times New Roman"/>
          <w:lang w:val="es"/>
        </w:rPr>
        <w:t>la sentencia</w:t>
      </w:r>
      <w:r w:rsidRPr="00CD36DB">
        <w:rPr>
          <w:rFonts w:ascii="Times New Roman" w:hAnsi="Times New Roman" w:cs="Times New Roman"/>
          <w:lang w:val="es"/>
        </w:rPr>
        <w:t xml:space="preserve"> de primera instancia (ff. 512 a 522), en los siguientes términos:</w:t>
      </w:r>
    </w:p>
    <w:p w14:paraId="3B74D6E3" w14:textId="77777777" w:rsidR="00463CE2" w:rsidRPr="00CD36DB" w:rsidRDefault="00463CE2">
      <w:pPr>
        <w:rPr>
          <w:rFonts w:ascii="Times New Roman" w:eastAsia="Arial" w:hAnsi="Times New Roman" w:cs="Times New Roman"/>
          <w:sz w:val="24"/>
          <w:szCs w:val="24"/>
        </w:rPr>
      </w:pPr>
    </w:p>
    <w:p w14:paraId="0C648C93" w14:textId="1A9DC1B3" w:rsidR="00463CE2" w:rsidRPr="00CD36DB" w:rsidRDefault="00245737">
      <w:pPr>
        <w:pStyle w:val="Textoindependiente"/>
        <w:ind w:right="98"/>
        <w:jc w:val="both"/>
        <w:rPr>
          <w:rFonts w:ascii="Times New Roman" w:hAnsi="Times New Roman" w:cs="Times New Roman"/>
        </w:rPr>
      </w:pPr>
      <w:r w:rsidRPr="00CD36DB">
        <w:rPr>
          <w:rFonts w:ascii="Times New Roman" w:hAnsi="Times New Roman" w:cs="Times New Roman"/>
          <w:lang w:val="es"/>
        </w:rPr>
        <w:t xml:space="preserve">Manifestó que, definir como lugar de realización del hecho imponible del </w:t>
      </w:r>
      <w:r w:rsidR="00E27F66" w:rsidRPr="00CD36DB">
        <w:rPr>
          <w:rFonts w:ascii="Times New Roman" w:hAnsi="Times New Roman" w:cs="Times New Roman"/>
          <w:lang w:val="es"/>
        </w:rPr>
        <w:t>impuesto aquel</w:t>
      </w:r>
      <w:r w:rsidRPr="00CD36DB">
        <w:rPr>
          <w:rFonts w:ascii="Times New Roman" w:hAnsi="Times New Roman" w:cs="Times New Roman"/>
          <w:lang w:val="es"/>
        </w:rPr>
        <w:t xml:space="preserve"> en donde se fijan los elementos esenciales del contrato </w:t>
      </w:r>
      <w:r w:rsidR="00E27F66" w:rsidRPr="00CD36DB">
        <w:rPr>
          <w:rFonts w:ascii="Times New Roman" w:hAnsi="Times New Roman" w:cs="Times New Roman"/>
          <w:lang w:val="es"/>
        </w:rPr>
        <w:t>de compraventa</w:t>
      </w:r>
      <w:r w:rsidRPr="00CD36DB">
        <w:rPr>
          <w:rFonts w:ascii="Times New Roman" w:hAnsi="Times New Roman" w:cs="Times New Roman"/>
          <w:lang w:val="es"/>
        </w:rPr>
        <w:t xml:space="preserve">, genera conflictos entre los distintos municipios, porque la comercialización </w:t>
      </w:r>
      <w:r w:rsidR="00E27F66" w:rsidRPr="00CD36DB">
        <w:rPr>
          <w:rFonts w:ascii="Times New Roman" w:hAnsi="Times New Roman" w:cs="Times New Roman"/>
          <w:lang w:val="es"/>
        </w:rPr>
        <w:t>implica la</w:t>
      </w:r>
      <w:r w:rsidRPr="00CD36DB">
        <w:rPr>
          <w:rFonts w:ascii="Times New Roman" w:hAnsi="Times New Roman" w:cs="Times New Roman"/>
          <w:lang w:val="es"/>
        </w:rPr>
        <w:t xml:space="preserve"> realización de una serie de tareas logísticas que involucran tanto </w:t>
      </w:r>
      <w:r w:rsidR="00E27F66" w:rsidRPr="00CD36DB">
        <w:rPr>
          <w:rFonts w:ascii="Times New Roman" w:hAnsi="Times New Roman" w:cs="Times New Roman"/>
          <w:lang w:val="es"/>
        </w:rPr>
        <w:t>al municipio</w:t>
      </w:r>
      <w:r w:rsidRPr="00CD36DB">
        <w:rPr>
          <w:rFonts w:ascii="Times New Roman" w:hAnsi="Times New Roman" w:cs="Times New Roman"/>
          <w:lang w:val="es"/>
        </w:rPr>
        <w:t xml:space="preserve"> donde se ubica el comerciante como al municipio</w:t>
      </w:r>
    </w:p>
    <w:p w14:paraId="0871892C" w14:textId="77777777" w:rsidR="00463CE2" w:rsidRPr="00CD36DB" w:rsidRDefault="00463CE2">
      <w:pPr>
        <w:jc w:val="both"/>
        <w:rPr>
          <w:rFonts w:ascii="Times New Roman" w:hAnsi="Times New Roman" w:cs="Times New Roman"/>
          <w:sz w:val="24"/>
          <w:szCs w:val="24"/>
        </w:rPr>
        <w:sectPr w:rsidR="00463CE2" w:rsidRPr="00CD36DB" w:rsidSect="00CD36DB">
          <w:pgSz w:w="12240" w:h="15840" w:code="1"/>
          <w:pgMar w:top="1134" w:right="1134" w:bottom="1134" w:left="1418" w:header="720" w:footer="720" w:gutter="0"/>
          <w:cols w:space="720"/>
          <w:docGrid w:linePitch="299"/>
        </w:sectPr>
      </w:pPr>
    </w:p>
    <w:p w14:paraId="06A7FF15" w14:textId="77777777" w:rsidR="00463CE2" w:rsidRPr="00CD36DB" w:rsidRDefault="00463CE2">
      <w:pPr>
        <w:rPr>
          <w:rFonts w:ascii="Times New Roman" w:eastAsia="Arial" w:hAnsi="Times New Roman" w:cs="Times New Roman"/>
          <w:sz w:val="24"/>
          <w:szCs w:val="24"/>
        </w:rPr>
      </w:pPr>
    </w:p>
    <w:p w14:paraId="75F16E8A" w14:textId="77777777" w:rsidR="00463CE2" w:rsidRPr="00CD36DB" w:rsidRDefault="00463CE2">
      <w:pPr>
        <w:rPr>
          <w:rFonts w:ascii="Times New Roman" w:eastAsia="Arial" w:hAnsi="Times New Roman" w:cs="Times New Roman"/>
          <w:sz w:val="24"/>
          <w:szCs w:val="24"/>
        </w:rPr>
      </w:pPr>
    </w:p>
    <w:p w14:paraId="4A2AA0E3" w14:textId="77777777" w:rsidR="00463CE2" w:rsidRPr="00CD36DB" w:rsidRDefault="00463CE2">
      <w:pPr>
        <w:spacing w:before="7"/>
        <w:rPr>
          <w:rFonts w:ascii="Times New Roman" w:eastAsia="Arial" w:hAnsi="Times New Roman" w:cs="Times New Roman"/>
          <w:sz w:val="24"/>
          <w:szCs w:val="24"/>
        </w:rPr>
      </w:pPr>
    </w:p>
    <w:p w14:paraId="606B0EF0" w14:textId="77777777" w:rsidR="00463CE2" w:rsidRPr="00CD36DB" w:rsidRDefault="00245737">
      <w:pPr>
        <w:pStyle w:val="Textoindependiente"/>
        <w:spacing w:before="69"/>
        <w:jc w:val="both"/>
        <w:rPr>
          <w:rFonts w:ascii="Times New Roman" w:hAnsi="Times New Roman" w:cs="Times New Roman"/>
        </w:rPr>
      </w:pPr>
      <w:r w:rsidRPr="00CD36DB">
        <w:rPr>
          <w:rFonts w:ascii="Times New Roman" w:hAnsi="Times New Roman" w:cs="Times New Roman"/>
          <w:lang w:val="es"/>
        </w:rPr>
        <w:t>de destino de las mercancías.</w:t>
      </w:r>
    </w:p>
    <w:p w14:paraId="0628EB4D" w14:textId="77777777" w:rsidR="00463CE2" w:rsidRPr="00CD36DB" w:rsidRDefault="00463CE2">
      <w:pPr>
        <w:rPr>
          <w:rFonts w:ascii="Times New Roman" w:eastAsia="Arial" w:hAnsi="Times New Roman" w:cs="Times New Roman"/>
          <w:sz w:val="24"/>
          <w:szCs w:val="24"/>
        </w:rPr>
      </w:pPr>
    </w:p>
    <w:p w14:paraId="6AD7A1D7" w14:textId="2F8F6C34" w:rsidR="00463CE2" w:rsidRPr="00CD36DB" w:rsidRDefault="00245737">
      <w:pPr>
        <w:pStyle w:val="Textoindependiente"/>
        <w:ind w:right="116"/>
        <w:jc w:val="both"/>
        <w:rPr>
          <w:rFonts w:ascii="Times New Roman" w:hAnsi="Times New Roman" w:cs="Times New Roman"/>
        </w:rPr>
      </w:pPr>
      <w:r w:rsidRPr="00CD36DB">
        <w:rPr>
          <w:rFonts w:ascii="Times New Roman" w:hAnsi="Times New Roman" w:cs="Times New Roman"/>
          <w:lang w:val="es"/>
        </w:rPr>
        <w:t xml:space="preserve">Insistió en que la actividad comercial se configura a partir del desarrollo </w:t>
      </w:r>
      <w:r w:rsidR="00E27F66" w:rsidRPr="00CD36DB">
        <w:rPr>
          <w:rFonts w:ascii="Times New Roman" w:hAnsi="Times New Roman" w:cs="Times New Roman"/>
          <w:lang w:val="es"/>
        </w:rPr>
        <w:t>y ejecución</w:t>
      </w:r>
      <w:r w:rsidRPr="00CD36DB">
        <w:rPr>
          <w:rFonts w:ascii="Times New Roman" w:hAnsi="Times New Roman" w:cs="Times New Roman"/>
          <w:lang w:val="es"/>
        </w:rPr>
        <w:t xml:space="preserve"> del objeto contractual en las condiciones, forma y plazos pactados </w:t>
      </w:r>
      <w:r w:rsidR="00E27F66" w:rsidRPr="00CD36DB">
        <w:rPr>
          <w:rFonts w:ascii="Times New Roman" w:hAnsi="Times New Roman" w:cs="Times New Roman"/>
          <w:lang w:val="es"/>
        </w:rPr>
        <w:t>en el</w:t>
      </w:r>
      <w:r w:rsidRPr="00CD36DB">
        <w:rPr>
          <w:rFonts w:ascii="Times New Roman" w:hAnsi="Times New Roman" w:cs="Times New Roman"/>
          <w:lang w:val="es"/>
        </w:rPr>
        <w:t xml:space="preserve"> contrato respectivo.  De ahí, que para efectuar la venta de bienes y productos </w:t>
      </w:r>
      <w:r w:rsidR="00E27F66" w:rsidRPr="00CD36DB">
        <w:rPr>
          <w:rFonts w:ascii="Times New Roman" w:hAnsi="Times New Roman" w:cs="Times New Roman"/>
          <w:lang w:val="es"/>
        </w:rPr>
        <w:t>se pueda</w:t>
      </w:r>
      <w:r w:rsidRPr="00CD36DB">
        <w:rPr>
          <w:rFonts w:ascii="Times New Roman" w:hAnsi="Times New Roman" w:cs="Times New Roman"/>
          <w:lang w:val="es"/>
        </w:rPr>
        <w:t xml:space="preserve"> llegar a requerir de la infraestructura de distintos municipios.</w:t>
      </w:r>
    </w:p>
    <w:p w14:paraId="6D68B023" w14:textId="77777777" w:rsidR="00463CE2" w:rsidRPr="00CD36DB" w:rsidRDefault="00463CE2">
      <w:pPr>
        <w:rPr>
          <w:rFonts w:ascii="Times New Roman" w:eastAsia="Arial" w:hAnsi="Times New Roman" w:cs="Times New Roman"/>
          <w:sz w:val="24"/>
          <w:szCs w:val="24"/>
        </w:rPr>
      </w:pPr>
    </w:p>
    <w:p w14:paraId="643A1271" w14:textId="2DA32E0E" w:rsidR="00463CE2" w:rsidRPr="00CD36DB" w:rsidRDefault="00245737">
      <w:pPr>
        <w:pStyle w:val="Textoindependiente"/>
        <w:ind w:right="117"/>
        <w:jc w:val="both"/>
        <w:rPr>
          <w:rFonts w:ascii="Times New Roman" w:hAnsi="Times New Roman" w:cs="Times New Roman"/>
        </w:rPr>
      </w:pPr>
      <w:r w:rsidRPr="00CD36DB">
        <w:rPr>
          <w:rFonts w:ascii="Times New Roman" w:hAnsi="Times New Roman" w:cs="Times New Roman"/>
          <w:lang w:val="es"/>
        </w:rPr>
        <w:t>Precisó que el</w:t>
      </w:r>
      <w:r w:rsidRPr="00CD36DB">
        <w:rPr>
          <w:rFonts w:ascii="Times New Roman" w:hAnsi="Times New Roman" w:cs="Times New Roman"/>
          <w:i/>
          <w:lang w:val="es"/>
        </w:rPr>
        <w:t xml:space="preserve"> a quo</w:t>
      </w:r>
      <w:r w:rsidRPr="00CD36DB">
        <w:rPr>
          <w:rFonts w:ascii="Times New Roman" w:hAnsi="Times New Roman" w:cs="Times New Roman"/>
          <w:lang w:val="es"/>
        </w:rPr>
        <w:t xml:space="preserve"> no tuvo en cuenta las respuestas provistas por </w:t>
      </w:r>
      <w:r w:rsidR="00E27F66" w:rsidRPr="00CD36DB">
        <w:rPr>
          <w:rFonts w:ascii="Times New Roman" w:hAnsi="Times New Roman" w:cs="Times New Roman"/>
          <w:lang w:val="es"/>
        </w:rPr>
        <w:t>los clientes</w:t>
      </w:r>
      <w:r w:rsidRPr="00CD36DB">
        <w:rPr>
          <w:rFonts w:ascii="Times New Roman" w:hAnsi="Times New Roman" w:cs="Times New Roman"/>
          <w:lang w:val="es"/>
        </w:rPr>
        <w:t xml:space="preserve"> de la demandante a los requerimientos de información, las </w:t>
      </w:r>
      <w:r w:rsidR="00E27F66" w:rsidRPr="00CD36DB">
        <w:rPr>
          <w:rFonts w:ascii="Times New Roman" w:hAnsi="Times New Roman" w:cs="Times New Roman"/>
          <w:lang w:val="es"/>
        </w:rPr>
        <w:t>que, en</w:t>
      </w:r>
      <w:r w:rsidRPr="00CD36DB">
        <w:rPr>
          <w:rFonts w:ascii="Times New Roman" w:hAnsi="Times New Roman" w:cs="Times New Roman"/>
          <w:lang w:val="es"/>
        </w:rPr>
        <w:t xml:space="preserve"> su opinión, demuestran que la actividad de comercialización y de </w:t>
      </w:r>
      <w:r w:rsidR="00E27F66" w:rsidRPr="00CD36DB">
        <w:rPr>
          <w:rFonts w:ascii="Times New Roman" w:hAnsi="Times New Roman" w:cs="Times New Roman"/>
          <w:lang w:val="es"/>
        </w:rPr>
        <w:t>distribución tuvo</w:t>
      </w:r>
      <w:r w:rsidRPr="00CD36DB">
        <w:rPr>
          <w:rFonts w:ascii="Times New Roman" w:hAnsi="Times New Roman" w:cs="Times New Roman"/>
          <w:lang w:val="es"/>
        </w:rPr>
        <w:t xml:space="preserve"> lugar en Bogotá, donde la actora aprovechó la infraestructura y </w:t>
      </w:r>
      <w:r w:rsidR="00E27F66" w:rsidRPr="00CD36DB">
        <w:rPr>
          <w:rFonts w:ascii="Times New Roman" w:hAnsi="Times New Roman" w:cs="Times New Roman"/>
          <w:lang w:val="es"/>
        </w:rPr>
        <w:t>mercado existentes</w:t>
      </w:r>
      <w:r w:rsidRPr="00CD36DB">
        <w:rPr>
          <w:rFonts w:ascii="Times New Roman" w:hAnsi="Times New Roman" w:cs="Times New Roman"/>
          <w:lang w:val="es"/>
        </w:rPr>
        <w:t>.</w:t>
      </w:r>
    </w:p>
    <w:p w14:paraId="22E27044" w14:textId="77777777" w:rsidR="00463CE2" w:rsidRPr="00CD36DB" w:rsidRDefault="00463CE2">
      <w:pPr>
        <w:rPr>
          <w:rFonts w:ascii="Times New Roman" w:eastAsia="Arial" w:hAnsi="Times New Roman" w:cs="Times New Roman"/>
          <w:sz w:val="24"/>
          <w:szCs w:val="24"/>
        </w:rPr>
      </w:pPr>
    </w:p>
    <w:p w14:paraId="63F993CD" w14:textId="78A54D65" w:rsidR="00463CE2" w:rsidRPr="00CD36DB" w:rsidRDefault="00245737">
      <w:pPr>
        <w:pStyle w:val="Textoindependiente"/>
        <w:ind w:right="120"/>
        <w:jc w:val="both"/>
        <w:rPr>
          <w:rFonts w:ascii="Times New Roman" w:hAnsi="Times New Roman" w:cs="Times New Roman"/>
        </w:rPr>
      </w:pPr>
      <w:r w:rsidRPr="00CD36DB">
        <w:rPr>
          <w:rFonts w:ascii="Times New Roman" w:hAnsi="Times New Roman" w:cs="Times New Roman"/>
          <w:lang w:val="es"/>
        </w:rPr>
        <w:t xml:space="preserve">En lo demás, reiteró lo expuesto en la contestación de la </w:t>
      </w:r>
      <w:r w:rsidR="00E27F66" w:rsidRPr="00CD36DB">
        <w:rPr>
          <w:rFonts w:ascii="Times New Roman" w:hAnsi="Times New Roman" w:cs="Times New Roman"/>
          <w:lang w:val="es"/>
        </w:rPr>
        <w:t>demanda, específicamente</w:t>
      </w:r>
      <w:r w:rsidRPr="00CD36DB">
        <w:rPr>
          <w:rFonts w:ascii="Times New Roman" w:hAnsi="Times New Roman" w:cs="Times New Roman"/>
          <w:lang w:val="es"/>
        </w:rPr>
        <w:t xml:space="preserve">, en lo que concierne a la aplicación de la presunción establecida en el artículo 52 del Decreto distrital 352 de 2002.  Recalcó que el material probatorio demuestra que la demandante visitó algunos </w:t>
      </w:r>
      <w:r w:rsidR="00E27F66" w:rsidRPr="00CD36DB">
        <w:rPr>
          <w:rFonts w:ascii="Times New Roman" w:hAnsi="Times New Roman" w:cs="Times New Roman"/>
          <w:lang w:val="es"/>
        </w:rPr>
        <w:t>clientes para</w:t>
      </w:r>
      <w:r w:rsidRPr="00CD36DB">
        <w:rPr>
          <w:rFonts w:ascii="Times New Roman" w:hAnsi="Times New Roman" w:cs="Times New Roman"/>
          <w:lang w:val="es"/>
        </w:rPr>
        <w:t xml:space="preserve"> aconsejarlos a lo largo de las etapas de preventa, venta </w:t>
      </w:r>
      <w:r w:rsidR="00E27F66" w:rsidRPr="00CD36DB">
        <w:rPr>
          <w:rFonts w:ascii="Times New Roman" w:hAnsi="Times New Roman" w:cs="Times New Roman"/>
          <w:lang w:val="es"/>
        </w:rPr>
        <w:t>y postventa</w:t>
      </w:r>
      <w:r w:rsidRPr="00CD36DB">
        <w:rPr>
          <w:rFonts w:ascii="Times New Roman" w:hAnsi="Times New Roman" w:cs="Times New Roman"/>
          <w:lang w:val="es"/>
        </w:rPr>
        <w:t xml:space="preserve"> de productos.</w:t>
      </w:r>
    </w:p>
    <w:p w14:paraId="78A81B07" w14:textId="77777777" w:rsidR="00463CE2" w:rsidRPr="00CD36DB" w:rsidRDefault="00463CE2">
      <w:pPr>
        <w:rPr>
          <w:rFonts w:ascii="Times New Roman" w:eastAsia="Arial" w:hAnsi="Times New Roman" w:cs="Times New Roman"/>
          <w:sz w:val="24"/>
          <w:szCs w:val="24"/>
        </w:rPr>
      </w:pPr>
    </w:p>
    <w:p w14:paraId="6421C989" w14:textId="140B2486" w:rsidR="00463CE2" w:rsidRPr="00CD36DB" w:rsidRDefault="00245737">
      <w:pPr>
        <w:pStyle w:val="Textoindependiente"/>
        <w:ind w:right="117"/>
        <w:jc w:val="both"/>
        <w:rPr>
          <w:rFonts w:ascii="Times New Roman" w:hAnsi="Times New Roman" w:cs="Times New Roman"/>
        </w:rPr>
      </w:pPr>
      <w:r w:rsidRPr="00CD36DB">
        <w:rPr>
          <w:rFonts w:ascii="Times New Roman" w:hAnsi="Times New Roman" w:cs="Times New Roman"/>
          <w:lang w:val="es"/>
        </w:rPr>
        <w:t xml:space="preserve">Finalmente, volvió a señalar que, de conformidad con la sentencia de </w:t>
      </w:r>
      <w:r w:rsidR="00E27F66" w:rsidRPr="00CD36DB">
        <w:rPr>
          <w:rFonts w:ascii="Times New Roman" w:hAnsi="Times New Roman" w:cs="Times New Roman"/>
          <w:lang w:val="es"/>
        </w:rPr>
        <w:t>esta Sección</w:t>
      </w:r>
      <w:r w:rsidRPr="00CD36DB">
        <w:rPr>
          <w:rFonts w:ascii="Times New Roman" w:hAnsi="Times New Roman" w:cs="Times New Roman"/>
          <w:lang w:val="es"/>
        </w:rPr>
        <w:t xml:space="preserve"> del 29 de septiembre de 2011 (</w:t>
      </w:r>
      <w:proofErr w:type="spellStart"/>
      <w:r w:rsidRPr="00CD36DB">
        <w:rPr>
          <w:rFonts w:ascii="Times New Roman" w:hAnsi="Times New Roman" w:cs="Times New Roman"/>
          <w:lang w:val="es"/>
        </w:rPr>
        <w:t>exp</w:t>
      </w:r>
      <w:proofErr w:type="spellEnd"/>
      <w:r w:rsidRPr="00CD36DB">
        <w:rPr>
          <w:rFonts w:ascii="Times New Roman" w:hAnsi="Times New Roman" w:cs="Times New Roman"/>
          <w:lang w:val="es"/>
        </w:rPr>
        <w:t xml:space="preserve">.  18413, CP: Martha Teresa Briceño de Valencia), no podía aceptarse que todas </w:t>
      </w:r>
      <w:r w:rsidR="00E27F66" w:rsidRPr="00CD36DB">
        <w:rPr>
          <w:rFonts w:ascii="Times New Roman" w:hAnsi="Times New Roman" w:cs="Times New Roman"/>
          <w:lang w:val="es"/>
        </w:rPr>
        <w:t>las ventas</w:t>
      </w:r>
      <w:r w:rsidRPr="00CD36DB">
        <w:rPr>
          <w:rFonts w:ascii="Times New Roman" w:hAnsi="Times New Roman" w:cs="Times New Roman"/>
          <w:lang w:val="es"/>
        </w:rPr>
        <w:t xml:space="preserve"> de la demandante se realizaron en Cota.</w:t>
      </w:r>
    </w:p>
    <w:p w14:paraId="7F3D7F7B" w14:textId="77777777" w:rsidR="00463CE2" w:rsidRPr="00CD36DB" w:rsidRDefault="00463CE2">
      <w:pPr>
        <w:rPr>
          <w:rFonts w:ascii="Times New Roman" w:eastAsia="Arial" w:hAnsi="Times New Roman" w:cs="Times New Roman"/>
          <w:sz w:val="24"/>
          <w:szCs w:val="24"/>
        </w:rPr>
      </w:pPr>
    </w:p>
    <w:p w14:paraId="75509568" w14:textId="77777777" w:rsidR="00463CE2" w:rsidRPr="00CD36DB" w:rsidRDefault="00245737">
      <w:pPr>
        <w:pStyle w:val="Ttulo1"/>
        <w:jc w:val="both"/>
        <w:rPr>
          <w:rFonts w:ascii="Times New Roman" w:hAnsi="Times New Roman" w:cs="Times New Roman"/>
          <w:b w:val="0"/>
          <w:bCs w:val="0"/>
        </w:rPr>
      </w:pPr>
      <w:r w:rsidRPr="00CD36DB">
        <w:rPr>
          <w:rFonts w:ascii="Times New Roman" w:hAnsi="Times New Roman" w:cs="Times New Roman"/>
          <w:lang w:val="es"/>
        </w:rPr>
        <w:t>Alegatos de conclusión</w:t>
      </w:r>
    </w:p>
    <w:p w14:paraId="2F809D36" w14:textId="77777777" w:rsidR="00463CE2" w:rsidRPr="00CD36DB" w:rsidRDefault="00463CE2">
      <w:pPr>
        <w:rPr>
          <w:rFonts w:ascii="Times New Roman" w:eastAsia="Arial" w:hAnsi="Times New Roman" w:cs="Times New Roman"/>
          <w:b/>
          <w:bCs/>
          <w:sz w:val="24"/>
          <w:szCs w:val="24"/>
        </w:rPr>
      </w:pPr>
    </w:p>
    <w:p w14:paraId="741BDFC7" w14:textId="1D1FDF18" w:rsidR="00463CE2" w:rsidRPr="00CD36DB" w:rsidRDefault="00245737">
      <w:pPr>
        <w:pStyle w:val="Textoindependiente"/>
        <w:ind w:right="123"/>
        <w:jc w:val="both"/>
        <w:rPr>
          <w:rFonts w:ascii="Times New Roman" w:hAnsi="Times New Roman" w:cs="Times New Roman"/>
        </w:rPr>
      </w:pPr>
      <w:r w:rsidRPr="00CD36DB">
        <w:rPr>
          <w:rFonts w:ascii="Times New Roman" w:hAnsi="Times New Roman" w:cs="Times New Roman"/>
          <w:lang w:val="es"/>
        </w:rPr>
        <w:t>La actora insistió en los argumentos de la demanda (</w:t>
      </w:r>
      <w:proofErr w:type="spellStart"/>
      <w:r w:rsidRPr="00CD36DB">
        <w:rPr>
          <w:rFonts w:ascii="Times New Roman" w:hAnsi="Times New Roman" w:cs="Times New Roman"/>
          <w:lang w:val="es"/>
        </w:rPr>
        <w:t>ff</w:t>
      </w:r>
      <w:proofErr w:type="spellEnd"/>
      <w:r w:rsidRPr="00CD36DB">
        <w:rPr>
          <w:rFonts w:ascii="Times New Roman" w:hAnsi="Times New Roman" w:cs="Times New Roman"/>
          <w:lang w:val="es"/>
        </w:rPr>
        <w:t>.  10 a 32 cp2</w:t>
      </w:r>
      <w:r w:rsidR="00E27F66" w:rsidRPr="00CD36DB">
        <w:rPr>
          <w:rFonts w:ascii="Times New Roman" w:hAnsi="Times New Roman" w:cs="Times New Roman"/>
          <w:lang w:val="es"/>
        </w:rPr>
        <w:t>); y</w:t>
      </w:r>
      <w:r w:rsidRPr="00CD36DB">
        <w:rPr>
          <w:rFonts w:ascii="Times New Roman" w:hAnsi="Times New Roman" w:cs="Times New Roman"/>
          <w:lang w:val="es"/>
        </w:rPr>
        <w:t xml:space="preserve"> la entidad demandada reiteró lo expuesto en las fases anteriores </w:t>
      </w:r>
      <w:r w:rsidR="00E27F66" w:rsidRPr="00CD36DB">
        <w:rPr>
          <w:rFonts w:ascii="Times New Roman" w:hAnsi="Times New Roman" w:cs="Times New Roman"/>
          <w:lang w:val="es"/>
        </w:rPr>
        <w:t>del proceso</w:t>
      </w:r>
      <w:r w:rsidRPr="00CD36DB">
        <w:rPr>
          <w:rFonts w:ascii="Times New Roman" w:hAnsi="Times New Roman" w:cs="Times New Roman"/>
          <w:lang w:val="es"/>
        </w:rPr>
        <w:t xml:space="preserve"> (</w:t>
      </w:r>
      <w:proofErr w:type="spellStart"/>
      <w:r w:rsidRPr="00CD36DB">
        <w:rPr>
          <w:rFonts w:ascii="Times New Roman" w:hAnsi="Times New Roman" w:cs="Times New Roman"/>
          <w:lang w:val="es"/>
        </w:rPr>
        <w:t>ff</w:t>
      </w:r>
      <w:proofErr w:type="spellEnd"/>
      <w:r w:rsidRPr="00CD36DB">
        <w:rPr>
          <w:rFonts w:ascii="Times New Roman" w:hAnsi="Times New Roman" w:cs="Times New Roman"/>
          <w:lang w:val="es"/>
        </w:rPr>
        <w:t>. 33 y 34 vto.  cp2).</w:t>
      </w:r>
    </w:p>
    <w:p w14:paraId="6C64DA37" w14:textId="77777777" w:rsidR="00463CE2" w:rsidRPr="00CD36DB" w:rsidRDefault="00463CE2">
      <w:pPr>
        <w:rPr>
          <w:rFonts w:ascii="Times New Roman" w:eastAsia="Arial" w:hAnsi="Times New Roman" w:cs="Times New Roman"/>
          <w:sz w:val="24"/>
          <w:szCs w:val="24"/>
        </w:rPr>
      </w:pPr>
    </w:p>
    <w:p w14:paraId="741452CF" w14:textId="77777777" w:rsidR="00463CE2" w:rsidRPr="00CD36DB" w:rsidRDefault="00245737">
      <w:pPr>
        <w:pStyle w:val="Ttulo1"/>
        <w:jc w:val="both"/>
        <w:rPr>
          <w:rFonts w:ascii="Times New Roman" w:hAnsi="Times New Roman" w:cs="Times New Roman"/>
          <w:b w:val="0"/>
          <w:bCs w:val="0"/>
        </w:rPr>
      </w:pPr>
      <w:r w:rsidRPr="00CD36DB">
        <w:rPr>
          <w:rFonts w:ascii="Times New Roman" w:hAnsi="Times New Roman" w:cs="Times New Roman"/>
          <w:lang w:val="es"/>
        </w:rPr>
        <w:t>Concepto del Ministerio Público</w:t>
      </w:r>
    </w:p>
    <w:p w14:paraId="4AB9BF84" w14:textId="77777777" w:rsidR="00463CE2" w:rsidRPr="00CD36DB" w:rsidRDefault="00463CE2">
      <w:pPr>
        <w:spacing w:before="1"/>
        <w:rPr>
          <w:rFonts w:ascii="Times New Roman" w:eastAsia="Arial" w:hAnsi="Times New Roman" w:cs="Times New Roman"/>
          <w:b/>
          <w:bCs/>
          <w:sz w:val="24"/>
          <w:szCs w:val="24"/>
        </w:rPr>
      </w:pPr>
    </w:p>
    <w:p w14:paraId="52F50F95" w14:textId="714275A9" w:rsidR="00463CE2" w:rsidRPr="00CD36DB" w:rsidRDefault="00245737">
      <w:pPr>
        <w:pStyle w:val="Textoindependiente"/>
        <w:ind w:right="122"/>
        <w:jc w:val="both"/>
        <w:rPr>
          <w:rFonts w:ascii="Times New Roman" w:hAnsi="Times New Roman" w:cs="Times New Roman"/>
        </w:rPr>
      </w:pPr>
      <w:r w:rsidRPr="00CD36DB">
        <w:rPr>
          <w:rFonts w:ascii="Times New Roman" w:hAnsi="Times New Roman" w:cs="Times New Roman"/>
          <w:lang w:val="es"/>
        </w:rPr>
        <w:t>El Ministerio Público rindió concepto (</w:t>
      </w:r>
      <w:proofErr w:type="spellStart"/>
      <w:r w:rsidRPr="00CD36DB">
        <w:rPr>
          <w:rFonts w:ascii="Times New Roman" w:hAnsi="Times New Roman" w:cs="Times New Roman"/>
          <w:lang w:val="es"/>
        </w:rPr>
        <w:t>ff</w:t>
      </w:r>
      <w:proofErr w:type="spellEnd"/>
      <w:r w:rsidRPr="00CD36DB">
        <w:rPr>
          <w:rFonts w:ascii="Times New Roman" w:hAnsi="Times New Roman" w:cs="Times New Roman"/>
          <w:lang w:val="es"/>
        </w:rPr>
        <w:t xml:space="preserve">.  35 a 38 cp2), en el cual manifestó que, de acuerdo con la </w:t>
      </w:r>
      <w:r w:rsidR="00E27F66" w:rsidRPr="00CD36DB">
        <w:rPr>
          <w:rFonts w:ascii="Times New Roman" w:hAnsi="Times New Roman" w:cs="Times New Roman"/>
          <w:lang w:val="es"/>
        </w:rPr>
        <w:t>posición fijada</w:t>
      </w:r>
      <w:r w:rsidRPr="00CD36DB">
        <w:rPr>
          <w:rFonts w:ascii="Times New Roman" w:hAnsi="Times New Roman" w:cs="Times New Roman"/>
          <w:lang w:val="es"/>
        </w:rPr>
        <w:t xml:space="preserve"> por esta Sección, el lugar donde se efectúan las </w:t>
      </w:r>
      <w:r w:rsidR="00E27F66" w:rsidRPr="00CD36DB">
        <w:rPr>
          <w:rFonts w:ascii="Times New Roman" w:hAnsi="Times New Roman" w:cs="Times New Roman"/>
          <w:lang w:val="es"/>
        </w:rPr>
        <w:t>labores de</w:t>
      </w:r>
      <w:r w:rsidRPr="00CD36DB">
        <w:rPr>
          <w:rFonts w:ascii="Times New Roman" w:hAnsi="Times New Roman" w:cs="Times New Roman"/>
          <w:lang w:val="es"/>
        </w:rPr>
        <w:t xml:space="preserve"> asesoría a los clientes para la venta de productos y el destino de </w:t>
      </w:r>
      <w:r w:rsidR="00E27F66" w:rsidRPr="00CD36DB">
        <w:rPr>
          <w:rFonts w:ascii="Times New Roman" w:hAnsi="Times New Roman" w:cs="Times New Roman"/>
          <w:lang w:val="es"/>
        </w:rPr>
        <w:t>las mercancías</w:t>
      </w:r>
      <w:r w:rsidRPr="00CD36DB">
        <w:rPr>
          <w:rFonts w:ascii="Times New Roman" w:hAnsi="Times New Roman" w:cs="Times New Roman"/>
          <w:lang w:val="es"/>
        </w:rPr>
        <w:t xml:space="preserve"> no determinan el lugar de causación del hecho imponible, el </w:t>
      </w:r>
      <w:r w:rsidR="00E27F66" w:rsidRPr="00CD36DB">
        <w:rPr>
          <w:rFonts w:ascii="Times New Roman" w:hAnsi="Times New Roman" w:cs="Times New Roman"/>
          <w:lang w:val="es"/>
        </w:rPr>
        <w:t>cual se</w:t>
      </w:r>
      <w:r w:rsidRPr="00CD36DB">
        <w:rPr>
          <w:rFonts w:ascii="Times New Roman" w:hAnsi="Times New Roman" w:cs="Times New Roman"/>
          <w:lang w:val="es"/>
        </w:rPr>
        <w:t xml:space="preserve"> perfecciona donde se fijen el precio, las condiciones de pago </w:t>
      </w:r>
      <w:r w:rsidR="00E27F66" w:rsidRPr="00CD36DB">
        <w:rPr>
          <w:rFonts w:ascii="Times New Roman" w:hAnsi="Times New Roman" w:cs="Times New Roman"/>
          <w:lang w:val="es"/>
        </w:rPr>
        <w:t>y los</w:t>
      </w:r>
      <w:r w:rsidRPr="00CD36DB">
        <w:rPr>
          <w:rFonts w:ascii="Times New Roman" w:hAnsi="Times New Roman" w:cs="Times New Roman"/>
          <w:lang w:val="es"/>
        </w:rPr>
        <w:t xml:space="preserve"> descuentos u otras promociones.</w:t>
      </w:r>
    </w:p>
    <w:p w14:paraId="1E639ECC" w14:textId="77777777" w:rsidR="00463CE2" w:rsidRPr="00CD36DB" w:rsidRDefault="00463CE2">
      <w:pPr>
        <w:rPr>
          <w:rFonts w:ascii="Times New Roman" w:eastAsia="Arial" w:hAnsi="Times New Roman" w:cs="Times New Roman"/>
          <w:sz w:val="24"/>
          <w:szCs w:val="24"/>
        </w:rPr>
      </w:pPr>
    </w:p>
    <w:p w14:paraId="6ECFBF83" w14:textId="5DDFF6D3" w:rsidR="00463CE2" w:rsidRPr="00CD36DB" w:rsidRDefault="00245737">
      <w:pPr>
        <w:pStyle w:val="Textoindependiente"/>
        <w:ind w:right="119"/>
        <w:jc w:val="both"/>
        <w:rPr>
          <w:rFonts w:ascii="Times New Roman" w:hAnsi="Times New Roman" w:cs="Times New Roman"/>
        </w:rPr>
      </w:pPr>
      <w:r w:rsidRPr="00CD36DB">
        <w:rPr>
          <w:rFonts w:ascii="Times New Roman" w:hAnsi="Times New Roman" w:cs="Times New Roman"/>
          <w:lang w:val="es"/>
        </w:rPr>
        <w:t xml:space="preserve">Concluyó que la actividad comercial objeto de debate se realizó en el </w:t>
      </w:r>
      <w:r w:rsidR="00E27F66" w:rsidRPr="00CD36DB">
        <w:rPr>
          <w:rFonts w:ascii="Times New Roman" w:hAnsi="Times New Roman" w:cs="Times New Roman"/>
          <w:lang w:val="es"/>
        </w:rPr>
        <w:t>municipio de</w:t>
      </w:r>
      <w:r w:rsidRPr="00CD36DB">
        <w:rPr>
          <w:rFonts w:ascii="Times New Roman" w:hAnsi="Times New Roman" w:cs="Times New Roman"/>
          <w:lang w:val="es"/>
        </w:rPr>
        <w:t xml:space="preserve"> Cota, lugar en el que se tomaron los pedidos y órdenes </w:t>
      </w:r>
      <w:r w:rsidR="00E27F66" w:rsidRPr="00CD36DB">
        <w:rPr>
          <w:rFonts w:ascii="Times New Roman" w:hAnsi="Times New Roman" w:cs="Times New Roman"/>
          <w:lang w:val="es"/>
        </w:rPr>
        <w:t>de compra</w:t>
      </w:r>
      <w:r w:rsidRPr="00CD36DB">
        <w:rPr>
          <w:rFonts w:ascii="Times New Roman" w:hAnsi="Times New Roman" w:cs="Times New Roman"/>
          <w:lang w:val="es"/>
        </w:rPr>
        <w:t xml:space="preserve"> a través </w:t>
      </w:r>
      <w:r w:rsidR="00E27F66" w:rsidRPr="00CD36DB">
        <w:rPr>
          <w:rFonts w:ascii="Times New Roman" w:hAnsi="Times New Roman" w:cs="Times New Roman"/>
          <w:lang w:val="es"/>
        </w:rPr>
        <w:t>de medios electrónicos; y</w:t>
      </w:r>
      <w:r w:rsidRPr="00CD36DB">
        <w:rPr>
          <w:rFonts w:ascii="Times New Roman" w:hAnsi="Times New Roman" w:cs="Times New Roman"/>
          <w:lang w:val="es"/>
        </w:rPr>
        <w:t xml:space="preserve"> </w:t>
      </w:r>
      <w:r w:rsidR="00E27F66" w:rsidRPr="00CD36DB">
        <w:rPr>
          <w:rFonts w:ascii="Times New Roman" w:hAnsi="Times New Roman" w:cs="Times New Roman"/>
          <w:lang w:val="es"/>
        </w:rPr>
        <w:t>se perfeccionaron los elementos</w:t>
      </w:r>
      <w:r w:rsidRPr="00CD36DB">
        <w:rPr>
          <w:rFonts w:ascii="Times New Roman" w:hAnsi="Times New Roman" w:cs="Times New Roman"/>
          <w:lang w:val="es"/>
        </w:rPr>
        <w:t xml:space="preserve"> esenciales del</w:t>
      </w:r>
    </w:p>
    <w:p w14:paraId="32F308C4" w14:textId="77777777" w:rsidR="00463CE2" w:rsidRPr="00CD36DB" w:rsidRDefault="00463CE2">
      <w:pPr>
        <w:jc w:val="both"/>
        <w:rPr>
          <w:rFonts w:ascii="Times New Roman" w:hAnsi="Times New Roman" w:cs="Times New Roman"/>
          <w:sz w:val="24"/>
          <w:szCs w:val="24"/>
        </w:rPr>
        <w:sectPr w:rsidR="00463CE2" w:rsidRPr="00CD36DB" w:rsidSect="00CD36DB">
          <w:pgSz w:w="12240" w:h="15840" w:code="1"/>
          <w:pgMar w:top="1134" w:right="1134" w:bottom="1134" w:left="1418" w:header="720" w:footer="720" w:gutter="0"/>
          <w:cols w:space="720"/>
          <w:docGrid w:linePitch="299"/>
        </w:sectPr>
      </w:pPr>
    </w:p>
    <w:p w14:paraId="30A40A91" w14:textId="77777777" w:rsidR="00463CE2" w:rsidRPr="00CD36DB" w:rsidRDefault="00463CE2">
      <w:pPr>
        <w:rPr>
          <w:rFonts w:ascii="Times New Roman" w:eastAsia="Arial" w:hAnsi="Times New Roman" w:cs="Times New Roman"/>
          <w:sz w:val="24"/>
          <w:szCs w:val="24"/>
        </w:rPr>
      </w:pPr>
    </w:p>
    <w:p w14:paraId="20361B78" w14:textId="77777777" w:rsidR="00463CE2" w:rsidRPr="00CD36DB" w:rsidRDefault="00463CE2">
      <w:pPr>
        <w:rPr>
          <w:rFonts w:ascii="Times New Roman" w:eastAsia="Arial" w:hAnsi="Times New Roman" w:cs="Times New Roman"/>
          <w:sz w:val="24"/>
          <w:szCs w:val="24"/>
        </w:rPr>
      </w:pPr>
    </w:p>
    <w:p w14:paraId="56C8864F" w14:textId="77777777" w:rsidR="00463CE2" w:rsidRPr="00CD36DB" w:rsidRDefault="00463CE2">
      <w:pPr>
        <w:spacing w:before="7"/>
        <w:rPr>
          <w:rFonts w:ascii="Times New Roman" w:eastAsia="Arial" w:hAnsi="Times New Roman" w:cs="Times New Roman"/>
          <w:sz w:val="24"/>
          <w:szCs w:val="24"/>
        </w:rPr>
      </w:pPr>
    </w:p>
    <w:p w14:paraId="65D57BFC" w14:textId="77777777" w:rsidR="00463CE2" w:rsidRPr="00CD36DB" w:rsidRDefault="00245737">
      <w:pPr>
        <w:pStyle w:val="Textoindependiente"/>
        <w:spacing w:before="69"/>
        <w:ind w:right="118"/>
        <w:jc w:val="both"/>
        <w:rPr>
          <w:rFonts w:ascii="Times New Roman" w:hAnsi="Times New Roman" w:cs="Times New Roman"/>
        </w:rPr>
      </w:pPr>
      <w:r w:rsidRPr="00CD36DB">
        <w:rPr>
          <w:rFonts w:ascii="Times New Roman" w:hAnsi="Times New Roman" w:cs="Times New Roman"/>
          <w:lang w:val="es"/>
        </w:rPr>
        <w:t>acuerdo sobre los productos comercializados (</w:t>
      </w:r>
      <w:r w:rsidRPr="00CD36DB">
        <w:rPr>
          <w:rFonts w:ascii="Times New Roman" w:hAnsi="Times New Roman" w:cs="Times New Roman"/>
          <w:i/>
          <w:lang w:val="es"/>
        </w:rPr>
        <w:t>i.e</w:t>
      </w:r>
      <w:r w:rsidRPr="00CD36DB">
        <w:rPr>
          <w:rFonts w:ascii="Times New Roman" w:hAnsi="Times New Roman" w:cs="Times New Roman"/>
          <w:lang w:val="es"/>
        </w:rPr>
        <w:t>.  negociación, facturación y despacho de la mercancía).</w:t>
      </w:r>
    </w:p>
    <w:p w14:paraId="4A0252FB" w14:textId="77777777" w:rsidR="00463CE2" w:rsidRPr="00CD36DB" w:rsidRDefault="00463CE2">
      <w:pPr>
        <w:rPr>
          <w:rFonts w:ascii="Times New Roman" w:eastAsia="Arial" w:hAnsi="Times New Roman" w:cs="Times New Roman"/>
          <w:sz w:val="24"/>
          <w:szCs w:val="24"/>
        </w:rPr>
      </w:pPr>
    </w:p>
    <w:p w14:paraId="56363841" w14:textId="77777777" w:rsidR="00463CE2" w:rsidRPr="00CD36DB" w:rsidRDefault="00463CE2">
      <w:pPr>
        <w:rPr>
          <w:rFonts w:ascii="Times New Roman" w:eastAsia="Arial" w:hAnsi="Times New Roman" w:cs="Times New Roman"/>
          <w:sz w:val="24"/>
          <w:szCs w:val="24"/>
        </w:rPr>
      </w:pPr>
    </w:p>
    <w:p w14:paraId="791903FB" w14:textId="77777777" w:rsidR="00463CE2" w:rsidRPr="00CD36DB" w:rsidRDefault="00245737">
      <w:pPr>
        <w:pStyle w:val="Ttulo1"/>
        <w:ind w:left="2735" w:right="2306"/>
        <w:jc w:val="center"/>
        <w:rPr>
          <w:rFonts w:ascii="Times New Roman" w:hAnsi="Times New Roman" w:cs="Times New Roman"/>
          <w:b w:val="0"/>
          <w:bCs w:val="0"/>
        </w:rPr>
      </w:pPr>
      <w:r w:rsidRPr="00CD36DB">
        <w:rPr>
          <w:rFonts w:ascii="Times New Roman" w:hAnsi="Times New Roman" w:cs="Times New Roman"/>
          <w:lang w:val="es"/>
        </w:rPr>
        <w:t>CONSIDERACIONES DE LA SALA</w:t>
      </w:r>
    </w:p>
    <w:p w14:paraId="4FBAA360" w14:textId="77777777" w:rsidR="00463CE2" w:rsidRPr="00CD36DB" w:rsidRDefault="00463CE2">
      <w:pPr>
        <w:rPr>
          <w:rFonts w:ascii="Times New Roman" w:eastAsia="Arial" w:hAnsi="Times New Roman" w:cs="Times New Roman"/>
          <w:b/>
          <w:bCs/>
          <w:sz w:val="24"/>
          <w:szCs w:val="24"/>
        </w:rPr>
      </w:pPr>
    </w:p>
    <w:p w14:paraId="461A88FE" w14:textId="77777777" w:rsidR="00463CE2" w:rsidRPr="00CD36DB" w:rsidRDefault="00463CE2">
      <w:pPr>
        <w:rPr>
          <w:rFonts w:ascii="Times New Roman" w:eastAsia="Arial" w:hAnsi="Times New Roman" w:cs="Times New Roman"/>
          <w:b/>
          <w:bCs/>
          <w:sz w:val="24"/>
          <w:szCs w:val="24"/>
        </w:rPr>
      </w:pPr>
    </w:p>
    <w:p w14:paraId="0306606E" w14:textId="7EAEFA30" w:rsidR="00463CE2" w:rsidRPr="00CD36DB" w:rsidRDefault="00245737">
      <w:pPr>
        <w:pStyle w:val="Prrafodelista"/>
        <w:numPr>
          <w:ilvl w:val="0"/>
          <w:numId w:val="3"/>
        </w:numPr>
        <w:tabs>
          <w:tab w:val="left" w:pos="818"/>
        </w:tabs>
        <w:ind w:right="116" w:firstLine="0"/>
        <w:jc w:val="both"/>
        <w:rPr>
          <w:rFonts w:ascii="Times New Roman" w:eastAsia="Arial" w:hAnsi="Times New Roman" w:cs="Times New Roman"/>
          <w:sz w:val="24"/>
          <w:szCs w:val="24"/>
        </w:rPr>
      </w:pPr>
      <w:r w:rsidRPr="00CD36DB">
        <w:rPr>
          <w:rFonts w:ascii="Times New Roman" w:hAnsi="Times New Roman" w:cs="Times New Roman"/>
          <w:sz w:val="24"/>
          <w:szCs w:val="24"/>
          <w:lang w:val="es"/>
        </w:rPr>
        <w:t xml:space="preserve">La Sala decide sobre la legalidad de los actos demandados, de </w:t>
      </w:r>
      <w:r w:rsidR="00E27F66" w:rsidRPr="00CD36DB">
        <w:rPr>
          <w:rFonts w:ascii="Times New Roman" w:hAnsi="Times New Roman" w:cs="Times New Roman"/>
          <w:sz w:val="24"/>
          <w:szCs w:val="24"/>
          <w:lang w:val="es"/>
        </w:rPr>
        <w:t>conformidad con</w:t>
      </w:r>
      <w:r w:rsidRPr="00CD36DB">
        <w:rPr>
          <w:rFonts w:ascii="Times New Roman" w:hAnsi="Times New Roman" w:cs="Times New Roman"/>
          <w:sz w:val="24"/>
          <w:szCs w:val="24"/>
          <w:lang w:val="es"/>
        </w:rPr>
        <w:t xml:space="preserve"> los cargos de apelación formulados por la demandada contra la </w:t>
      </w:r>
      <w:r w:rsidR="00E27F66" w:rsidRPr="00CD36DB">
        <w:rPr>
          <w:rFonts w:ascii="Times New Roman" w:hAnsi="Times New Roman" w:cs="Times New Roman"/>
          <w:sz w:val="24"/>
          <w:szCs w:val="24"/>
          <w:lang w:val="es"/>
        </w:rPr>
        <w:t>sentencia de</w:t>
      </w:r>
      <w:r w:rsidRPr="00CD36DB">
        <w:rPr>
          <w:rFonts w:ascii="Times New Roman" w:hAnsi="Times New Roman" w:cs="Times New Roman"/>
          <w:sz w:val="24"/>
          <w:szCs w:val="24"/>
          <w:lang w:val="es"/>
        </w:rPr>
        <w:t xml:space="preserve"> primer grado que accedió a las pretensiones de la demanda.  En concreto, se establecerá si la actora era sujeto pasivo del </w:t>
      </w:r>
      <w:r w:rsidR="00E27F66" w:rsidRPr="00CD36DB">
        <w:rPr>
          <w:rFonts w:ascii="Times New Roman" w:hAnsi="Times New Roman" w:cs="Times New Roman"/>
          <w:sz w:val="24"/>
          <w:szCs w:val="24"/>
          <w:lang w:val="es"/>
        </w:rPr>
        <w:t>impuesto de</w:t>
      </w:r>
      <w:r w:rsidRPr="00CD36DB">
        <w:rPr>
          <w:rFonts w:ascii="Times New Roman" w:hAnsi="Times New Roman" w:cs="Times New Roman"/>
          <w:sz w:val="24"/>
          <w:szCs w:val="24"/>
          <w:lang w:val="es"/>
        </w:rPr>
        <w:t xml:space="preserve"> industria y comercio en el Distrito de Bogotá por los </w:t>
      </w:r>
      <w:r w:rsidR="00E27F66" w:rsidRPr="00CD36DB">
        <w:rPr>
          <w:rFonts w:ascii="Times New Roman" w:hAnsi="Times New Roman" w:cs="Times New Roman"/>
          <w:sz w:val="24"/>
          <w:szCs w:val="24"/>
          <w:lang w:val="es"/>
        </w:rPr>
        <w:t>bimestres 1.º</w:t>
      </w:r>
      <w:r w:rsidRPr="00CD36DB">
        <w:rPr>
          <w:rFonts w:ascii="Times New Roman" w:hAnsi="Times New Roman" w:cs="Times New Roman"/>
          <w:sz w:val="24"/>
          <w:szCs w:val="24"/>
          <w:lang w:val="es"/>
        </w:rPr>
        <w:t xml:space="preserve"> a 6.º de los años gravables 2008 a 2011 y si, por tal </w:t>
      </w:r>
      <w:r w:rsidR="00E27F66" w:rsidRPr="00CD36DB">
        <w:rPr>
          <w:rFonts w:ascii="Times New Roman" w:hAnsi="Times New Roman" w:cs="Times New Roman"/>
          <w:sz w:val="24"/>
          <w:szCs w:val="24"/>
          <w:lang w:val="es"/>
        </w:rPr>
        <w:t>circunstancia,</w:t>
      </w:r>
      <w:r w:rsidRPr="00CD36DB">
        <w:rPr>
          <w:rFonts w:ascii="Times New Roman" w:hAnsi="Times New Roman" w:cs="Times New Roman"/>
          <w:sz w:val="24"/>
          <w:szCs w:val="24"/>
          <w:lang w:val="es"/>
        </w:rPr>
        <w:t xml:space="preserve"> cabía la sanción por desatender el deber de declarar y la </w:t>
      </w:r>
      <w:r w:rsidR="00E27F66" w:rsidRPr="00CD36DB">
        <w:rPr>
          <w:rFonts w:ascii="Times New Roman" w:hAnsi="Times New Roman" w:cs="Times New Roman"/>
          <w:sz w:val="24"/>
          <w:szCs w:val="24"/>
          <w:lang w:val="es"/>
        </w:rPr>
        <w:t>liquidación administrativa</w:t>
      </w:r>
      <w:r w:rsidRPr="00CD36DB">
        <w:rPr>
          <w:rFonts w:ascii="Times New Roman" w:hAnsi="Times New Roman" w:cs="Times New Roman"/>
          <w:sz w:val="24"/>
          <w:szCs w:val="24"/>
          <w:lang w:val="es"/>
        </w:rPr>
        <w:t xml:space="preserve"> de los tributos que se hubiesen dejado de pagar.</w:t>
      </w:r>
    </w:p>
    <w:p w14:paraId="26ADFB82" w14:textId="77777777" w:rsidR="00463CE2" w:rsidRPr="00CD36DB" w:rsidRDefault="00463CE2">
      <w:pPr>
        <w:rPr>
          <w:rFonts w:ascii="Times New Roman" w:eastAsia="Arial" w:hAnsi="Times New Roman" w:cs="Times New Roman"/>
          <w:sz w:val="24"/>
          <w:szCs w:val="24"/>
        </w:rPr>
      </w:pPr>
    </w:p>
    <w:p w14:paraId="7B966FC2" w14:textId="77777777" w:rsidR="00463CE2" w:rsidRPr="00CD36DB" w:rsidRDefault="00245737">
      <w:pPr>
        <w:pStyle w:val="Prrafodelista"/>
        <w:numPr>
          <w:ilvl w:val="0"/>
          <w:numId w:val="3"/>
        </w:numPr>
        <w:tabs>
          <w:tab w:val="left" w:pos="808"/>
        </w:tabs>
        <w:ind w:right="116" w:firstLine="0"/>
        <w:jc w:val="both"/>
        <w:rPr>
          <w:rFonts w:ascii="Times New Roman" w:eastAsia="Arial" w:hAnsi="Times New Roman" w:cs="Times New Roman"/>
          <w:sz w:val="24"/>
          <w:szCs w:val="24"/>
        </w:rPr>
      </w:pPr>
      <w:r w:rsidRPr="00CD36DB">
        <w:rPr>
          <w:rFonts w:ascii="Times New Roman" w:hAnsi="Times New Roman" w:cs="Times New Roman"/>
          <w:sz w:val="24"/>
          <w:szCs w:val="24"/>
          <w:lang w:val="es"/>
        </w:rPr>
        <w:t>El deber formal de presentar declaración del ICA en la jurisdicción de Bogotá  se encuentra regulado en el artículo 26 del Decreto 807 de 1993, de conformidad con el cual</w:t>
      </w:r>
      <w:r w:rsidRPr="00CD36DB">
        <w:rPr>
          <w:rFonts w:ascii="Times New Roman" w:hAnsi="Times New Roman" w:cs="Times New Roman"/>
          <w:i/>
          <w:sz w:val="24"/>
          <w:szCs w:val="24"/>
          <w:lang w:val="es"/>
        </w:rPr>
        <w:t xml:space="preserve"> «están obligados a presentar una declaración del impuesto de industria y comercio, avisos y tableros por cada período, las personas naturales, jurídicas y sociedades de hecho, que realicen dentro del territorio de la </w:t>
      </w:r>
      <w:r w:rsidRPr="00CD36DB">
        <w:rPr>
          <w:rFonts w:ascii="Times New Roman" w:hAnsi="Times New Roman" w:cs="Times New Roman"/>
          <w:sz w:val="24"/>
          <w:szCs w:val="24"/>
          <w:lang w:val="es"/>
        </w:rPr>
        <w:t xml:space="preserve"> </w:t>
      </w:r>
      <w:r w:rsidRPr="00CD36DB">
        <w:rPr>
          <w:rFonts w:ascii="Times New Roman" w:hAnsi="Times New Roman" w:cs="Times New Roman"/>
          <w:i/>
          <w:sz w:val="24"/>
          <w:szCs w:val="24"/>
          <w:lang w:val="es"/>
        </w:rPr>
        <w:t>jurisdicción del Distrito Capital, las actividades que de conformidad con las normas sustanciales están</w:t>
      </w:r>
      <w:r w:rsidRPr="00CD36DB">
        <w:rPr>
          <w:rFonts w:ascii="Times New Roman" w:hAnsi="Times New Roman" w:cs="Times New Roman"/>
          <w:sz w:val="24"/>
          <w:szCs w:val="24"/>
          <w:lang w:val="es"/>
        </w:rPr>
        <w:t xml:space="preserve"> </w:t>
      </w:r>
      <w:r w:rsidRPr="00CD36DB">
        <w:rPr>
          <w:rFonts w:ascii="Times New Roman" w:hAnsi="Times New Roman" w:cs="Times New Roman"/>
          <w:i/>
          <w:sz w:val="24"/>
          <w:szCs w:val="24"/>
          <w:lang w:val="es"/>
        </w:rPr>
        <w:t xml:space="preserve"> gravadas o exentas del impuesto».</w:t>
      </w:r>
    </w:p>
    <w:p w14:paraId="554A6BE6" w14:textId="77777777" w:rsidR="00463CE2" w:rsidRPr="00CD36DB" w:rsidRDefault="00463CE2">
      <w:pPr>
        <w:rPr>
          <w:rFonts w:ascii="Times New Roman" w:eastAsia="Arial" w:hAnsi="Times New Roman" w:cs="Times New Roman"/>
          <w:i/>
          <w:sz w:val="24"/>
          <w:szCs w:val="24"/>
        </w:rPr>
      </w:pPr>
    </w:p>
    <w:p w14:paraId="231A2B4D" w14:textId="046713CF" w:rsidR="00463CE2" w:rsidRPr="00CD36DB" w:rsidRDefault="00245737">
      <w:pPr>
        <w:pStyle w:val="Textoindependiente"/>
        <w:ind w:right="120"/>
        <w:jc w:val="both"/>
        <w:rPr>
          <w:rFonts w:ascii="Times New Roman" w:hAnsi="Times New Roman" w:cs="Times New Roman"/>
        </w:rPr>
      </w:pPr>
      <w:r w:rsidRPr="00CD36DB">
        <w:rPr>
          <w:rFonts w:ascii="Times New Roman" w:hAnsi="Times New Roman" w:cs="Times New Roman"/>
          <w:lang w:val="es"/>
        </w:rPr>
        <w:t xml:space="preserve">Es un hecho cierto y no discutido por las partes que la </w:t>
      </w:r>
      <w:r w:rsidR="00E27F66" w:rsidRPr="00CD36DB">
        <w:rPr>
          <w:rFonts w:ascii="Times New Roman" w:hAnsi="Times New Roman" w:cs="Times New Roman"/>
          <w:lang w:val="es"/>
        </w:rPr>
        <w:t>demandante no</w:t>
      </w:r>
      <w:r w:rsidRPr="00CD36DB">
        <w:rPr>
          <w:rFonts w:ascii="Times New Roman" w:hAnsi="Times New Roman" w:cs="Times New Roman"/>
          <w:lang w:val="es"/>
        </w:rPr>
        <w:t xml:space="preserve"> declaró ni pagó el ICA por los bimestres 1.º a 6.º de los años gravables 2008 a </w:t>
      </w:r>
      <w:r w:rsidR="00E27F66" w:rsidRPr="00CD36DB">
        <w:rPr>
          <w:rFonts w:ascii="Times New Roman" w:hAnsi="Times New Roman" w:cs="Times New Roman"/>
          <w:lang w:val="es"/>
        </w:rPr>
        <w:t>2011 en</w:t>
      </w:r>
      <w:r w:rsidRPr="00CD36DB">
        <w:rPr>
          <w:rFonts w:ascii="Times New Roman" w:hAnsi="Times New Roman" w:cs="Times New Roman"/>
          <w:lang w:val="es"/>
        </w:rPr>
        <w:t xml:space="preserve"> Bogotá, motivo por el cual la autoridad, siguiendo el procedimiento establecido en </w:t>
      </w:r>
      <w:r w:rsidR="00E27F66" w:rsidRPr="00CD36DB">
        <w:rPr>
          <w:rFonts w:ascii="Times New Roman" w:hAnsi="Times New Roman" w:cs="Times New Roman"/>
          <w:lang w:val="es"/>
        </w:rPr>
        <w:t>los artículos</w:t>
      </w:r>
      <w:r w:rsidRPr="00CD36DB">
        <w:rPr>
          <w:rFonts w:ascii="Times New Roman" w:hAnsi="Times New Roman" w:cs="Times New Roman"/>
          <w:lang w:val="es"/>
        </w:rPr>
        <w:t xml:space="preserve"> 103 del mencionado decreto, profirió en </w:t>
      </w:r>
      <w:r w:rsidR="00E27F66" w:rsidRPr="00CD36DB">
        <w:rPr>
          <w:rFonts w:ascii="Times New Roman" w:hAnsi="Times New Roman" w:cs="Times New Roman"/>
          <w:lang w:val="es"/>
        </w:rPr>
        <w:t>contra de</w:t>
      </w:r>
      <w:r w:rsidRPr="00CD36DB">
        <w:rPr>
          <w:rFonts w:ascii="Times New Roman" w:hAnsi="Times New Roman" w:cs="Times New Roman"/>
          <w:lang w:val="es"/>
        </w:rPr>
        <w:t xml:space="preserve"> la demandante una resolución sancionadora por no declarar y una posterior liquidación oficial de aforo mediante los actos demandados. La demandante se opone a esas determinaciones, con el argumento de que no realizó actividades gravadas en la jurisdicción de Bogotá, de modo que, al no ser allí sujeto pasivo del </w:t>
      </w:r>
      <w:r w:rsidR="00E27F66" w:rsidRPr="00CD36DB">
        <w:rPr>
          <w:rFonts w:ascii="Times New Roman" w:hAnsi="Times New Roman" w:cs="Times New Roman"/>
          <w:lang w:val="es"/>
        </w:rPr>
        <w:t>tributo,</w:t>
      </w:r>
      <w:r w:rsidRPr="00CD36DB">
        <w:rPr>
          <w:rFonts w:ascii="Times New Roman" w:hAnsi="Times New Roman" w:cs="Times New Roman"/>
          <w:lang w:val="es"/>
        </w:rPr>
        <w:t xml:space="preserve"> no debía liquidarlo ni presentar declaración alguna, por lo que en definitiva no habría cometido las infracciones que se le atribuyen ni </w:t>
      </w:r>
      <w:r w:rsidR="00E27F66" w:rsidRPr="00CD36DB">
        <w:rPr>
          <w:rFonts w:ascii="Times New Roman" w:hAnsi="Times New Roman" w:cs="Times New Roman"/>
          <w:lang w:val="es"/>
        </w:rPr>
        <w:t>le sería</w:t>
      </w:r>
      <w:r w:rsidRPr="00CD36DB">
        <w:rPr>
          <w:rFonts w:ascii="Times New Roman" w:hAnsi="Times New Roman" w:cs="Times New Roman"/>
          <w:lang w:val="es"/>
        </w:rPr>
        <w:t xml:space="preserve"> exigible el impuesto liquidado.  En la apelación, la demandada sostiene que la actora sí </w:t>
      </w:r>
      <w:r w:rsidR="00E27F66" w:rsidRPr="00CD36DB">
        <w:rPr>
          <w:rFonts w:ascii="Times New Roman" w:hAnsi="Times New Roman" w:cs="Times New Roman"/>
          <w:lang w:val="es"/>
        </w:rPr>
        <w:t>realizó en</w:t>
      </w:r>
      <w:r w:rsidRPr="00CD36DB">
        <w:rPr>
          <w:rFonts w:ascii="Times New Roman" w:hAnsi="Times New Roman" w:cs="Times New Roman"/>
          <w:lang w:val="es"/>
        </w:rPr>
        <w:t xml:space="preserve"> el distrito actividades comerciales gravadas con el tributo, por lo que </w:t>
      </w:r>
      <w:r w:rsidR="004F3C90" w:rsidRPr="00CD36DB">
        <w:rPr>
          <w:rFonts w:ascii="Times New Roman" w:hAnsi="Times New Roman" w:cs="Times New Roman"/>
          <w:lang w:val="es"/>
        </w:rPr>
        <w:t>tendría que</w:t>
      </w:r>
      <w:r w:rsidRPr="00CD36DB">
        <w:rPr>
          <w:rFonts w:ascii="Times New Roman" w:hAnsi="Times New Roman" w:cs="Times New Roman"/>
          <w:lang w:val="es"/>
        </w:rPr>
        <w:t xml:space="preserve"> haber presentado las declaraciones en cuestión y pagado el impuesto, en la medida en que está demostrado que efectuó </w:t>
      </w:r>
      <w:r w:rsidR="004F3C90" w:rsidRPr="00CD36DB">
        <w:rPr>
          <w:rFonts w:ascii="Times New Roman" w:hAnsi="Times New Roman" w:cs="Times New Roman"/>
          <w:lang w:val="es"/>
        </w:rPr>
        <w:t>ventas que</w:t>
      </w:r>
      <w:r w:rsidRPr="00CD36DB">
        <w:rPr>
          <w:rFonts w:ascii="Times New Roman" w:hAnsi="Times New Roman" w:cs="Times New Roman"/>
          <w:lang w:val="es"/>
        </w:rPr>
        <w:t xml:space="preserve"> tenían como destino final compradores ubicados en Bogotá.</w:t>
      </w:r>
    </w:p>
    <w:p w14:paraId="3DFBED28" w14:textId="77777777" w:rsidR="00463CE2" w:rsidRPr="00CD36DB" w:rsidRDefault="00463CE2">
      <w:pPr>
        <w:spacing w:before="11"/>
        <w:rPr>
          <w:rFonts w:ascii="Times New Roman" w:eastAsia="Arial" w:hAnsi="Times New Roman" w:cs="Times New Roman"/>
          <w:sz w:val="24"/>
          <w:szCs w:val="24"/>
        </w:rPr>
      </w:pPr>
    </w:p>
    <w:p w14:paraId="04C5FC9D" w14:textId="77777777" w:rsidR="00463CE2" w:rsidRPr="00CD36DB" w:rsidRDefault="00245737">
      <w:pPr>
        <w:pStyle w:val="Textoindependiente"/>
        <w:jc w:val="both"/>
        <w:rPr>
          <w:rFonts w:ascii="Times New Roman" w:hAnsi="Times New Roman" w:cs="Times New Roman"/>
        </w:rPr>
      </w:pPr>
      <w:proofErr w:type="gramStart"/>
      <w:r w:rsidRPr="00CD36DB">
        <w:rPr>
          <w:rFonts w:ascii="Times New Roman" w:hAnsi="Times New Roman" w:cs="Times New Roman"/>
          <w:lang w:val="es"/>
        </w:rPr>
        <w:t xml:space="preserve">La  </w:t>
      </w:r>
      <w:r w:rsidRPr="00CD36DB">
        <w:rPr>
          <w:rFonts w:ascii="Times New Roman" w:hAnsi="Times New Roman" w:cs="Times New Roman"/>
          <w:i/>
          <w:lang w:val="es"/>
        </w:rPr>
        <w:t>litis</w:t>
      </w:r>
      <w:proofErr w:type="gramEnd"/>
      <w:r w:rsidRPr="00CD36DB">
        <w:rPr>
          <w:rFonts w:ascii="Times New Roman" w:hAnsi="Times New Roman" w:cs="Times New Roman"/>
          <w:lang w:val="es"/>
        </w:rPr>
        <w:t xml:space="preserve">  planteada en esos  términos  lleva  a que  la  legalidad de los    actos</w:t>
      </w:r>
    </w:p>
    <w:p w14:paraId="3A78C7C9" w14:textId="77777777" w:rsidR="00463CE2" w:rsidRPr="00CD36DB" w:rsidRDefault="00463CE2">
      <w:pPr>
        <w:jc w:val="both"/>
        <w:rPr>
          <w:rFonts w:ascii="Times New Roman" w:hAnsi="Times New Roman" w:cs="Times New Roman"/>
          <w:sz w:val="24"/>
          <w:szCs w:val="24"/>
        </w:rPr>
        <w:sectPr w:rsidR="00463CE2" w:rsidRPr="00CD36DB" w:rsidSect="00CD36DB">
          <w:pgSz w:w="12240" w:h="15840" w:code="1"/>
          <w:pgMar w:top="1134" w:right="1134" w:bottom="1134" w:left="1418" w:header="720" w:footer="720" w:gutter="0"/>
          <w:cols w:space="720"/>
          <w:docGrid w:linePitch="299"/>
        </w:sectPr>
      </w:pPr>
    </w:p>
    <w:p w14:paraId="46953F10" w14:textId="77777777" w:rsidR="00463CE2" w:rsidRPr="00CD36DB" w:rsidRDefault="00463CE2">
      <w:pPr>
        <w:rPr>
          <w:rFonts w:ascii="Times New Roman" w:eastAsia="Arial" w:hAnsi="Times New Roman" w:cs="Times New Roman"/>
          <w:sz w:val="24"/>
          <w:szCs w:val="24"/>
        </w:rPr>
      </w:pPr>
    </w:p>
    <w:p w14:paraId="66A128DE" w14:textId="77777777" w:rsidR="00463CE2" w:rsidRPr="00CD36DB" w:rsidRDefault="00463CE2">
      <w:pPr>
        <w:rPr>
          <w:rFonts w:ascii="Times New Roman" w:eastAsia="Arial" w:hAnsi="Times New Roman" w:cs="Times New Roman"/>
          <w:sz w:val="24"/>
          <w:szCs w:val="24"/>
        </w:rPr>
      </w:pPr>
    </w:p>
    <w:p w14:paraId="4FA9C79B" w14:textId="77777777" w:rsidR="00463CE2" w:rsidRPr="00CD36DB" w:rsidRDefault="00463CE2">
      <w:pPr>
        <w:spacing w:before="7"/>
        <w:rPr>
          <w:rFonts w:ascii="Times New Roman" w:eastAsia="Arial" w:hAnsi="Times New Roman" w:cs="Times New Roman"/>
          <w:sz w:val="24"/>
          <w:szCs w:val="24"/>
        </w:rPr>
      </w:pPr>
    </w:p>
    <w:p w14:paraId="3F5B61EC" w14:textId="4FA9F5FA" w:rsidR="00463CE2" w:rsidRPr="00CD36DB" w:rsidRDefault="00245737">
      <w:pPr>
        <w:pStyle w:val="Textoindependiente"/>
        <w:spacing w:before="69"/>
        <w:ind w:right="124"/>
        <w:jc w:val="both"/>
        <w:rPr>
          <w:rFonts w:ascii="Times New Roman" w:hAnsi="Times New Roman" w:cs="Times New Roman"/>
        </w:rPr>
      </w:pPr>
      <w:r w:rsidRPr="00CD36DB">
        <w:rPr>
          <w:rFonts w:ascii="Times New Roman" w:hAnsi="Times New Roman" w:cs="Times New Roman"/>
          <w:lang w:val="es"/>
        </w:rPr>
        <w:t xml:space="preserve">administrativos que se enjuician penda de establecer si la demandante tenía la condición </w:t>
      </w:r>
      <w:r w:rsidR="004F3C90" w:rsidRPr="00CD36DB">
        <w:rPr>
          <w:rFonts w:ascii="Times New Roman" w:hAnsi="Times New Roman" w:cs="Times New Roman"/>
          <w:lang w:val="es"/>
        </w:rPr>
        <w:t>de sujeto</w:t>
      </w:r>
      <w:r w:rsidRPr="00CD36DB">
        <w:rPr>
          <w:rFonts w:ascii="Times New Roman" w:hAnsi="Times New Roman" w:cs="Times New Roman"/>
          <w:lang w:val="es"/>
        </w:rPr>
        <w:t xml:space="preserve"> pasivo del ICA en el distrito de Bogotá con ocasión de las ventas </w:t>
      </w:r>
      <w:r w:rsidR="004F3C90" w:rsidRPr="00CD36DB">
        <w:rPr>
          <w:rFonts w:ascii="Times New Roman" w:hAnsi="Times New Roman" w:cs="Times New Roman"/>
          <w:lang w:val="es"/>
        </w:rPr>
        <w:t>de productos</w:t>
      </w:r>
      <w:r w:rsidRPr="00CD36DB">
        <w:rPr>
          <w:rFonts w:ascii="Times New Roman" w:hAnsi="Times New Roman" w:cs="Times New Roman"/>
          <w:lang w:val="es"/>
        </w:rPr>
        <w:t xml:space="preserve"> a las que se refiere la Administración.</w:t>
      </w:r>
    </w:p>
    <w:p w14:paraId="2FC861B1" w14:textId="77777777" w:rsidR="00463CE2" w:rsidRPr="00CD36DB" w:rsidRDefault="00463CE2">
      <w:pPr>
        <w:spacing w:before="11"/>
        <w:rPr>
          <w:rFonts w:ascii="Times New Roman" w:eastAsia="Arial" w:hAnsi="Times New Roman" w:cs="Times New Roman"/>
          <w:sz w:val="24"/>
          <w:szCs w:val="24"/>
        </w:rPr>
      </w:pPr>
    </w:p>
    <w:p w14:paraId="35589DAA" w14:textId="04035CEA" w:rsidR="00463CE2" w:rsidRPr="00CD36DB" w:rsidRDefault="00245737">
      <w:pPr>
        <w:pStyle w:val="Prrafodelista"/>
        <w:numPr>
          <w:ilvl w:val="0"/>
          <w:numId w:val="3"/>
        </w:numPr>
        <w:tabs>
          <w:tab w:val="left" w:pos="830"/>
        </w:tabs>
        <w:ind w:right="117" w:firstLine="0"/>
        <w:jc w:val="both"/>
        <w:rPr>
          <w:rFonts w:ascii="Times New Roman" w:eastAsia="Arial" w:hAnsi="Times New Roman" w:cs="Times New Roman"/>
          <w:sz w:val="24"/>
          <w:szCs w:val="24"/>
        </w:rPr>
      </w:pPr>
      <w:r w:rsidRPr="00CD36DB">
        <w:rPr>
          <w:rFonts w:ascii="Times New Roman" w:hAnsi="Times New Roman" w:cs="Times New Roman"/>
          <w:sz w:val="24"/>
          <w:szCs w:val="24"/>
          <w:lang w:val="es"/>
        </w:rPr>
        <w:t xml:space="preserve">La Sección ya ha fijado los criterios judiciales que llevan a establecer </w:t>
      </w:r>
      <w:r w:rsidR="004F3C90" w:rsidRPr="00CD36DB">
        <w:rPr>
          <w:rFonts w:ascii="Times New Roman" w:hAnsi="Times New Roman" w:cs="Times New Roman"/>
          <w:sz w:val="24"/>
          <w:szCs w:val="24"/>
          <w:lang w:val="es"/>
        </w:rPr>
        <w:t>si,</w:t>
      </w:r>
      <w:r w:rsidRPr="00CD36DB">
        <w:rPr>
          <w:rFonts w:ascii="Times New Roman" w:hAnsi="Times New Roman" w:cs="Times New Roman"/>
          <w:sz w:val="24"/>
          <w:szCs w:val="24"/>
          <w:lang w:val="es"/>
        </w:rPr>
        <w:t xml:space="preserve"> en el marco del impuesto al que aquí nos referimos, </w:t>
      </w:r>
      <w:r w:rsidR="004F3C90" w:rsidRPr="00CD36DB">
        <w:rPr>
          <w:rFonts w:ascii="Times New Roman" w:hAnsi="Times New Roman" w:cs="Times New Roman"/>
          <w:sz w:val="24"/>
          <w:szCs w:val="24"/>
          <w:lang w:val="es"/>
        </w:rPr>
        <w:t>se realiza</w:t>
      </w:r>
      <w:r w:rsidRPr="00CD36DB">
        <w:rPr>
          <w:rFonts w:ascii="Times New Roman" w:hAnsi="Times New Roman" w:cs="Times New Roman"/>
          <w:sz w:val="24"/>
          <w:szCs w:val="24"/>
          <w:lang w:val="es"/>
        </w:rPr>
        <w:t xml:space="preserve"> en un determinado municipio el hecho generador por la </w:t>
      </w:r>
      <w:r w:rsidR="004F3C90" w:rsidRPr="00CD36DB">
        <w:rPr>
          <w:rFonts w:ascii="Times New Roman" w:hAnsi="Times New Roman" w:cs="Times New Roman"/>
          <w:sz w:val="24"/>
          <w:szCs w:val="24"/>
          <w:lang w:val="es"/>
        </w:rPr>
        <w:t>comercialización de</w:t>
      </w:r>
      <w:r w:rsidRPr="00CD36DB">
        <w:rPr>
          <w:rFonts w:ascii="Times New Roman" w:hAnsi="Times New Roman" w:cs="Times New Roman"/>
          <w:sz w:val="24"/>
          <w:szCs w:val="24"/>
          <w:lang w:val="es"/>
        </w:rPr>
        <w:t xml:space="preserve"> bienes.  Dentro de los pronunciamientos efectuados al respecto cabe citar las sentencias del </w:t>
      </w:r>
      <w:r w:rsidR="004F3C90" w:rsidRPr="00CD36DB">
        <w:rPr>
          <w:rFonts w:ascii="Times New Roman" w:hAnsi="Times New Roman" w:cs="Times New Roman"/>
          <w:sz w:val="24"/>
          <w:szCs w:val="24"/>
          <w:lang w:val="es"/>
        </w:rPr>
        <w:t>23 de</w:t>
      </w:r>
      <w:r w:rsidRPr="00CD36DB">
        <w:rPr>
          <w:rFonts w:ascii="Times New Roman" w:hAnsi="Times New Roman" w:cs="Times New Roman"/>
          <w:sz w:val="24"/>
          <w:szCs w:val="24"/>
          <w:lang w:val="es"/>
        </w:rPr>
        <w:t xml:space="preserve"> noviembre de 2018 (</w:t>
      </w:r>
      <w:proofErr w:type="spellStart"/>
      <w:r w:rsidRPr="00CD36DB">
        <w:rPr>
          <w:rFonts w:ascii="Times New Roman" w:hAnsi="Times New Roman" w:cs="Times New Roman"/>
          <w:sz w:val="24"/>
          <w:szCs w:val="24"/>
          <w:lang w:val="es"/>
        </w:rPr>
        <w:t>exp</w:t>
      </w:r>
      <w:proofErr w:type="spellEnd"/>
      <w:r w:rsidRPr="00CD36DB">
        <w:rPr>
          <w:rFonts w:ascii="Times New Roman" w:hAnsi="Times New Roman" w:cs="Times New Roman"/>
          <w:sz w:val="24"/>
          <w:szCs w:val="24"/>
          <w:lang w:val="es"/>
        </w:rPr>
        <w:t>. 22817, CP: Stella Jeannette Carvajal Basto), del 26 de septiembre de 2018 (</w:t>
      </w:r>
      <w:proofErr w:type="spellStart"/>
      <w:r w:rsidRPr="00CD36DB">
        <w:rPr>
          <w:rFonts w:ascii="Times New Roman" w:hAnsi="Times New Roman" w:cs="Times New Roman"/>
          <w:sz w:val="24"/>
          <w:szCs w:val="24"/>
          <w:lang w:val="es"/>
        </w:rPr>
        <w:t>exp</w:t>
      </w:r>
      <w:proofErr w:type="spellEnd"/>
      <w:r w:rsidRPr="00CD36DB">
        <w:rPr>
          <w:rFonts w:ascii="Times New Roman" w:hAnsi="Times New Roman" w:cs="Times New Roman"/>
          <w:sz w:val="24"/>
          <w:szCs w:val="24"/>
          <w:lang w:val="es"/>
        </w:rPr>
        <w:t xml:space="preserve">. 22614, CP: Stella Jeannette </w:t>
      </w:r>
      <w:proofErr w:type="spellStart"/>
      <w:r w:rsidRPr="00CD36DB">
        <w:rPr>
          <w:rFonts w:ascii="Times New Roman" w:hAnsi="Times New Roman" w:cs="Times New Roman"/>
          <w:sz w:val="24"/>
          <w:szCs w:val="24"/>
          <w:lang w:val="es"/>
        </w:rPr>
        <w:t>Carvaj</w:t>
      </w:r>
      <w:proofErr w:type="spellEnd"/>
      <w:r w:rsidRPr="00CD36DB">
        <w:rPr>
          <w:rFonts w:ascii="Times New Roman" w:hAnsi="Times New Roman" w:cs="Times New Roman"/>
          <w:sz w:val="24"/>
          <w:szCs w:val="24"/>
          <w:lang w:val="es"/>
        </w:rPr>
        <w:t xml:space="preserve"> al Basto), del 08 de junio de 2016 (</w:t>
      </w:r>
      <w:proofErr w:type="spellStart"/>
      <w:r w:rsidRPr="00CD36DB">
        <w:rPr>
          <w:rFonts w:ascii="Times New Roman" w:hAnsi="Times New Roman" w:cs="Times New Roman"/>
          <w:sz w:val="24"/>
          <w:szCs w:val="24"/>
          <w:lang w:val="es"/>
        </w:rPr>
        <w:t>exp</w:t>
      </w:r>
      <w:proofErr w:type="spellEnd"/>
      <w:r w:rsidRPr="00CD36DB">
        <w:rPr>
          <w:rFonts w:ascii="Times New Roman" w:hAnsi="Times New Roman" w:cs="Times New Roman"/>
          <w:sz w:val="24"/>
          <w:szCs w:val="24"/>
          <w:lang w:val="es"/>
        </w:rPr>
        <w:t>.  21681, CP: Martha Teresa Briceño de Valencia), del</w:t>
      </w:r>
      <w:r w:rsidR="004F3C90">
        <w:rPr>
          <w:rFonts w:ascii="Times New Roman" w:hAnsi="Times New Roman" w:cs="Times New Roman"/>
          <w:sz w:val="24"/>
          <w:szCs w:val="24"/>
          <w:lang w:val="es"/>
        </w:rPr>
        <w:t xml:space="preserve"> </w:t>
      </w:r>
      <w:r w:rsidR="004F3C90" w:rsidRPr="00CD36DB">
        <w:rPr>
          <w:rFonts w:ascii="Times New Roman" w:hAnsi="Times New Roman" w:cs="Times New Roman"/>
          <w:lang w:val="es"/>
        </w:rPr>
        <w:t>29 de</w:t>
      </w:r>
      <w:r w:rsidR="004F3C90">
        <w:rPr>
          <w:rFonts w:ascii="Times New Roman" w:hAnsi="Times New Roman" w:cs="Times New Roman"/>
          <w:lang w:val="es"/>
        </w:rPr>
        <w:t xml:space="preserve"> </w:t>
      </w:r>
      <w:r w:rsidR="004F3C90" w:rsidRPr="00CD36DB">
        <w:rPr>
          <w:rFonts w:ascii="Times New Roman" w:hAnsi="Times New Roman" w:cs="Times New Roman"/>
          <w:lang w:val="es"/>
        </w:rPr>
        <w:t>septiembre</w:t>
      </w:r>
    </w:p>
    <w:p w14:paraId="23A55ED9" w14:textId="1A59D9C0" w:rsidR="00463CE2" w:rsidRPr="00CD36DB" w:rsidRDefault="00245737">
      <w:pPr>
        <w:pStyle w:val="Textoindependiente"/>
        <w:ind w:right="121"/>
        <w:jc w:val="both"/>
        <w:rPr>
          <w:rFonts w:ascii="Times New Roman" w:hAnsi="Times New Roman" w:cs="Times New Roman"/>
        </w:rPr>
      </w:pPr>
      <w:r w:rsidRPr="00CD36DB">
        <w:rPr>
          <w:rFonts w:ascii="Times New Roman" w:hAnsi="Times New Roman" w:cs="Times New Roman"/>
          <w:lang w:val="es"/>
        </w:rPr>
        <w:t>de 2011 (</w:t>
      </w:r>
      <w:proofErr w:type="spellStart"/>
      <w:r w:rsidRPr="00CD36DB">
        <w:rPr>
          <w:rFonts w:ascii="Times New Roman" w:hAnsi="Times New Roman" w:cs="Times New Roman"/>
          <w:lang w:val="es"/>
        </w:rPr>
        <w:t>exp</w:t>
      </w:r>
      <w:proofErr w:type="spellEnd"/>
      <w:r w:rsidRPr="00CD36DB">
        <w:rPr>
          <w:rFonts w:ascii="Times New Roman" w:hAnsi="Times New Roman" w:cs="Times New Roman"/>
          <w:lang w:val="es"/>
        </w:rPr>
        <w:t xml:space="preserve">. 18413, CP: Martha Teresa Briceño de Valencia) y del 19 de mayo de 2005 (exp. 14582, CP: María Inés Ortiz Barbosa).  En consecuencia, el presente asunto se fallará siguiendo ese criterio </w:t>
      </w:r>
      <w:r w:rsidR="004F3C90" w:rsidRPr="00CD36DB">
        <w:rPr>
          <w:rFonts w:ascii="Times New Roman" w:hAnsi="Times New Roman" w:cs="Times New Roman"/>
          <w:lang w:val="es"/>
        </w:rPr>
        <w:t>de decisión</w:t>
      </w:r>
      <w:r w:rsidRPr="00CD36DB">
        <w:rPr>
          <w:rFonts w:ascii="Times New Roman" w:hAnsi="Times New Roman" w:cs="Times New Roman"/>
          <w:lang w:val="es"/>
        </w:rPr>
        <w:t xml:space="preserve">, habida cuenta de que los supuestos fácticos y jurídicos enjuiciados </w:t>
      </w:r>
      <w:proofErr w:type="gramStart"/>
      <w:r w:rsidRPr="00CD36DB">
        <w:rPr>
          <w:rFonts w:ascii="Times New Roman" w:hAnsi="Times New Roman" w:cs="Times New Roman"/>
          <w:lang w:val="es"/>
        </w:rPr>
        <w:t>en  esta</w:t>
      </w:r>
      <w:proofErr w:type="gramEnd"/>
      <w:r w:rsidRPr="00CD36DB">
        <w:rPr>
          <w:rFonts w:ascii="Times New Roman" w:hAnsi="Times New Roman" w:cs="Times New Roman"/>
          <w:lang w:val="es"/>
        </w:rPr>
        <w:t xml:space="preserve"> ocasión guardan identidad con los vistos en los precedentes mencionados y  no se dan debates probatorios adicionales, ni sobre el procedimiento seguido  por la autoridad.</w:t>
      </w:r>
    </w:p>
    <w:p w14:paraId="1A346760" w14:textId="77777777" w:rsidR="00463CE2" w:rsidRPr="00CD36DB" w:rsidRDefault="00463CE2">
      <w:pPr>
        <w:rPr>
          <w:rFonts w:ascii="Times New Roman" w:eastAsia="Arial" w:hAnsi="Times New Roman" w:cs="Times New Roman"/>
          <w:sz w:val="24"/>
          <w:szCs w:val="24"/>
        </w:rPr>
      </w:pPr>
    </w:p>
    <w:p w14:paraId="676E9EB8" w14:textId="77777777" w:rsidR="00463CE2" w:rsidRPr="00CD36DB" w:rsidRDefault="00245737">
      <w:pPr>
        <w:pStyle w:val="Textoindependiente"/>
        <w:jc w:val="both"/>
        <w:rPr>
          <w:rFonts w:ascii="Times New Roman" w:hAnsi="Times New Roman" w:cs="Times New Roman"/>
        </w:rPr>
      </w:pPr>
      <w:r w:rsidRPr="00CD36DB">
        <w:rPr>
          <w:rFonts w:ascii="Times New Roman" w:hAnsi="Times New Roman" w:cs="Times New Roman"/>
          <w:lang w:val="es"/>
        </w:rPr>
        <w:t>3.1- Los análisis elaborados por la Sección recaen sobre lo siguiente:</w:t>
      </w:r>
    </w:p>
    <w:p w14:paraId="19CBF8AD" w14:textId="77777777" w:rsidR="00463CE2" w:rsidRPr="00CD36DB" w:rsidRDefault="00463CE2">
      <w:pPr>
        <w:rPr>
          <w:rFonts w:ascii="Times New Roman" w:eastAsia="Arial" w:hAnsi="Times New Roman" w:cs="Times New Roman"/>
          <w:sz w:val="24"/>
          <w:szCs w:val="24"/>
        </w:rPr>
      </w:pPr>
    </w:p>
    <w:p w14:paraId="410FB3AE" w14:textId="77777777" w:rsidR="00463CE2" w:rsidRPr="00CD36DB" w:rsidRDefault="00245737">
      <w:pPr>
        <w:pStyle w:val="Textoindependiente"/>
        <w:ind w:right="116"/>
        <w:jc w:val="both"/>
        <w:rPr>
          <w:rFonts w:ascii="Times New Roman" w:hAnsi="Times New Roman" w:cs="Times New Roman"/>
        </w:rPr>
      </w:pPr>
      <w:r w:rsidRPr="00CD36DB">
        <w:rPr>
          <w:rFonts w:ascii="Times New Roman" w:hAnsi="Times New Roman" w:cs="Times New Roman"/>
          <w:lang w:val="es"/>
        </w:rPr>
        <w:t xml:space="preserve">Uno de los hechos generadores del ICA consiste en la realización –directa o indirecta , de manera permanente u ocasional, con o sin establecimiento de comercio – de actividades comerciales en la jurisdicción municipal (artículo 32 del Decreto  352 de 2002);  siendo el expendio de bienes o mercancías una operación calificada como  actividad comercial (artículo 34 </w:t>
      </w:r>
      <w:r w:rsidRPr="00CD36DB">
        <w:rPr>
          <w:rFonts w:ascii="Times New Roman" w:hAnsi="Times New Roman" w:cs="Times New Roman"/>
          <w:i/>
          <w:lang w:val="es"/>
        </w:rPr>
        <w:t>ibidem</w:t>
      </w:r>
      <w:r w:rsidRPr="00CD36DB">
        <w:rPr>
          <w:rFonts w:ascii="Times New Roman" w:hAnsi="Times New Roman" w:cs="Times New Roman"/>
          <w:lang w:val="es"/>
        </w:rPr>
        <w:t>), pero en la práctica se  observaron dificultades para establecer el municipio que en cada caso tendría  el derecho a obtener el pago del tributo.</w:t>
      </w:r>
    </w:p>
    <w:p w14:paraId="126CE1D8" w14:textId="77777777" w:rsidR="00463CE2" w:rsidRPr="00CD36DB" w:rsidRDefault="00463CE2">
      <w:pPr>
        <w:rPr>
          <w:rFonts w:ascii="Times New Roman" w:eastAsia="Arial" w:hAnsi="Times New Roman" w:cs="Times New Roman"/>
          <w:sz w:val="24"/>
          <w:szCs w:val="24"/>
        </w:rPr>
      </w:pPr>
    </w:p>
    <w:p w14:paraId="7620E7D1" w14:textId="33ACCFAD" w:rsidR="00463CE2" w:rsidRPr="00CD36DB" w:rsidRDefault="00245737">
      <w:pPr>
        <w:pStyle w:val="Textoindependiente"/>
        <w:ind w:right="121"/>
        <w:jc w:val="both"/>
        <w:rPr>
          <w:rFonts w:ascii="Times New Roman" w:hAnsi="Times New Roman" w:cs="Times New Roman"/>
        </w:rPr>
      </w:pPr>
      <w:r w:rsidRPr="00CD36DB">
        <w:rPr>
          <w:rFonts w:ascii="Times New Roman" w:hAnsi="Times New Roman" w:cs="Times New Roman"/>
          <w:lang w:val="es"/>
        </w:rPr>
        <w:t xml:space="preserve">Al respecto, la Sección identificó criterios de sujeción territorial para ese </w:t>
      </w:r>
      <w:r w:rsidR="009622E5" w:rsidRPr="00CD36DB">
        <w:rPr>
          <w:rFonts w:ascii="Times New Roman" w:hAnsi="Times New Roman" w:cs="Times New Roman"/>
          <w:lang w:val="es"/>
        </w:rPr>
        <w:t>hecho imponible</w:t>
      </w:r>
      <w:r w:rsidRPr="00CD36DB">
        <w:rPr>
          <w:rFonts w:ascii="Times New Roman" w:hAnsi="Times New Roman" w:cs="Times New Roman"/>
          <w:lang w:val="es"/>
        </w:rPr>
        <w:t xml:space="preserve">, que a la postre se positivizaron en el ordinal 2.º del artículo 343 de la Ley 1819 de 2016. De conformidad con ellos, la actividad comercial se realiza en la </w:t>
      </w:r>
      <w:r w:rsidR="009622E5" w:rsidRPr="00CD36DB">
        <w:rPr>
          <w:rFonts w:ascii="Times New Roman" w:hAnsi="Times New Roman" w:cs="Times New Roman"/>
          <w:lang w:val="es"/>
        </w:rPr>
        <w:t>jurisdicción del</w:t>
      </w:r>
      <w:r w:rsidRPr="00CD36DB">
        <w:rPr>
          <w:rFonts w:ascii="Times New Roman" w:hAnsi="Times New Roman" w:cs="Times New Roman"/>
          <w:lang w:val="es"/>
        </w:rPr>
        <w:t xml:space="preserve"> municipio donde se perfecciona o consolida la venta, lo </w:t>
      </w:r>
      <w:r w:rsidR="009622E5" w:rsidRPr="00CD36DB">
        <w:rPr>
          <w:rFonts w:ascii="Times New Roman" w:hAnsi="Times New Roman" w:cs="Times New Roman"/>
          <w:lang w:val="es"/>
        </w:rPr>
        <w:t>que acaece</w:t>
      </w:r>
      <w:r w:rsidRPr="00CD36DB">
        <w:rPr>
          <w:rFonts w:ascii="Times New Roman" w:hAnsi="Times New Roman" w:cs="Times New Roman"/>
          <w:lang w:val="es"/>
        </w:rPr>
        <w:t xml:space="preserve"> cuando las partes intervinientes concretan los elementos esenciales del </w:t>
      </w:r>
      <w:r w:rsidR="009622E5" w:rsidRPr="00CD36DB">
        <w:rPr>
          <w:rFonts w:ascii="Times New Roman" w:hAnsi="Times New Roman" w:cs="Times New Roman"/>
          <w:lang w:val="es"/>
        </w:rPr>
        <w:t>contrato de</w:t>
      </w:r>
      <w:r w:rsidRPr="00CD36DB">
        <w:rPr>
          <w:rFonts w:ascii="Times New Roman" w:hAnsi="Times New Roman" w:cs="Times New Roman"/>
          <w:lang w:val="es"/>
        </w:rPr>
        <w:t xml:space="preserve"> venta.  Así, el impuesto se causa en aquel municipio donde se </w:t>
      </w:r>
      <w:r w:rsidR="009622E5" w:rsidRPr="00CD36DB">
        <w:rPr>
          <w:rFonts w:ascii="Times New Roman" w:hAnsi="Times New Roman" w:cs="Times New Roman"/>
          <w:lang w:val="es"/>
        </w:rPr>
        <w:t>convienen el</w:t>
      </w:r>
      <w:r w:rsidRPr="00CD36DB">
        <w:rPr>
          <w:rFonts w:ascii="Times New Roman" w:hAnsi="Times New Roman" w:cs="Times New Roman"/>
          <w:lang w:val="es"/>
        </w:rPr>
        <w:t xml:space="preserve"> precio y la cosa vendida.</w:t>
      </w:r>
    </w:p>
    <w:p w14:paraId="676A40A6" w14:textId="77777777" w:rsidR="00463CE2" w:rsidRPr="00CD36DB" w:rsidRDefault="00463CE2">
      <w:pPr>
        <w:rPr>
          <w:rFonts w:ascii="Times New Roman" w:eastAsia="Arial" w:hAnsi="Times New Roman" w:cs="Times New Roman"/>
          <w:sz w:val="24"/>
          <w:szCs w:val="24"/>
        </w:rPr>
      </w:pPr>
    </w:p>
    <w:p w14:paraId="723F06BB" w14:textId="5447BA8C" w:rsidR="00463CE2" w:rsidRPr="00CD36DB" w:rsidRDefault="00245737">
      <w:pPr>
        <w:pStyle w:val="Textoindependiente"/>
        <w:ind w:right="116"/>
        <w:jc w:val="both"/>
        <w:rPr>
          <w:rFonts w:ascii="Times New Roman" w:hAnsi="Times New Roman" w:cs="Times New Roman"/>
        </w:rPr>
      </w:pPr>
      <w:r w:rsidRPr="00CD36DB">
        <w:rPr>
          <w:rFonts w:ascii="Times New Roman" w:hAnsi="Times New Roman" w:cs="Times New Roman"/>
          <w:lang w:val="es"/>
        </w:rPr>
        <w:t>Asimismo, la Sección ha juzgado que resultan determinantes</w:t>
      </w:r>
      <w:r w:rsidRPr="00CD36DB">
        <w:rPr>
          <w:rFonts w:ascii="Times New Roman" w:hAnsi="Times New Roman" w:cs="Times New Roman"/>
          <w:i/>
          <w:lang w:val="es"/>
        </w:rPr>
        <w:t xml:space="preserve"> «las pruebas allegadas </w:t>
      </w:r>
      <w:r w:rsidR="009622E5" w:rsidRPr="00CD36DB">
        <w:rPr>
          <w:rFonts w:ascii="Times New Roman" w:hAnsi="Times New Roman" w:cs="Times New Roman"/>
          <w:i/>
          <w:lang w:val="es"/>
        </w:rPr>
        <w:t>al</w:t>
      </w:r>
      <w:r w:rsidR="009622E5" w:rsidRPr="00CD36DB">
        <w:rPr>
          <w:rFonts w:ascii="Times New Roman" w:hAnsi="Times New Roman" w:cs="Times New Roman"/>
          <w:lang w:val="es"/>
        </w:rPr>
        <w:t xml:space="preserve"> </w:t>
      </w:r>
      <w:r w:rsidR="009622E5" w:rsidRPr="00CD36DB">
        <w:rPr>
          <w:rFonts w:ascii="Times New Roman" w:hAnsi="Times New Roman" w:cs="Times New Roman"/>
          <w:i/>
          <w:lang w:val="es"/>
        </w:rPr>
        <w:t>proceso</w:t>
      </w:r>
      <w:r w:rsidRPr="00CD36DB">
        <w:rPr>
          <w:rFonts w:ascii="Times New Roman" w:hAnsi="Times New Roman" w:cs="Times New Roman"/>
          <w:i/>
          <w:lang w:val="es"/>
        </w:rPr>
        <w:t>, en cada caso</w:t>
      </w:r>
      <w:r w:rsidRPr="00CD36DB">
        <w:rPr>
          <w:rFonts w:ascii="Times New Roman" w:hAnsi="Times New Roman" w:cs="Times New Roman"/>
          <w:lang w:val="es"/>
        </w:rPr>
        <w:t xml:space="preserve">» (sentencia del 29 de septiembre de 2011, </w:t>
      </w:r>
      <w:proofErr w:type="spellStart"/>
      <w:r w:rsidRPr="00CD36DB">
        <w:rPr>
          <w:rFonts w:ascii="Times New Roman" w:hAnsi="Times New Roman" w:cs="Times New Roman"/>
          <w:lang w:val="es"/>
        </w:rPr>
        <w:t>exp</w:t>
      </w:r>
      <w:proofErr w:type="spellEnd"/>
      <w:r w:rsidRPr="00CD36DB">
        <w:rPr>
          <w:rFonts w:ascii="Times New Roman" w:hAnsi="Times New Roman" w:cs="Times New Roman"/>
          <w:lang w:val="es"/>
        </w:rPr>
        <w:t xml:space="preserve">. 18413, CP: Martha Teresa Briceño de Valencia), más allá de datos puntuales y alterables como el lugar donde se toman los pedidos, se entregan los productos, se ejercen labores de coordinación o se suscribe el contrato de compraventa (sentencia del 08 de marzo de 2002, </w:t>
      </w:r>
      <w:proofErr w:type="spellStart"/>
      <w:r w:rsidRPr="00CD36DB">
        <w:rPr>
          <w:rFonts w:ascii="Times New Roman" w:hAnsi="Times New Roman" w:cs="Times New Roman"/>
          <w:lang w:val="es"/>
        </w:rPr>
        <w:t>exp</w:t>
      </w:r>
      <w:proofErr w:type="spellEnd"/>
      <w:r w:rsidRPr="00CD36DB">
        <w:rPr>
          <w:rFonts w:ascii="Times New Roman" w:hAnsi="Times New Roman" w:cs="Times New Roman"/>
          <w:lang w:val="es"/>
        </w:rPr>
        <w:t>.  12300, CP: Juan Ángel</w:t>
      </w:r>
    </w:p>
    <w:p w14:paraId="76F21962" w14:textId="77777777" w:rsidR="00463CE2" w:rsidRPr="00CD36DB" w:rsidRDefault="00463CE2">
      <w:pPr>
        <w:jc w:val="both"/>
        <w:rPr>
          <w:rFonts w:ascii="Times New Roman" w:hAnsi="Times New Roman" w:cs="Times New Roman"/>
          <w:sz w:val="24"/>
          <w:szCs w:val="24"/>
        </w:rPr>
        <w:sectPr w:rsidR="00463CE2" w:rsidRPr="00CD36DB" w:rsidSect="00CD36DB">
          <w:pgSz w:w="12240" w:h="15840" w:code="1"/>
          <w:pgMar w:top="1134" w:right="1134" w:bottom="1134" w:left="1418" w:header="720" w:footer="720" w:gutter="0"/>
          <w:cols w:space="720"/>
          <w:docGrid w:linePitch="299"/>
        </w:sectPr>
      </w:pPr>
    </w:p>
    <w:p w14:paraId="40C4C2B5" w14:textId="77777777" w:rsidR="00463CE2" w:rsidRPr="00CD36DB" w:rsidRDefault="00463CE2">
      <w:pPr>
        <w:rPr>
          <w:rFonts w:ascii="Times New Roman" w:eastAsia="Arial" w:hAnsi="Times New Roman" w:cs="Times New Roman"/>
          <w:sz w:val="24"/>
          <w:szCs w:val="24"/>
        </w:rPr>
      </w:pPr>
    </w:p>
    <w:p w14:paraId="576E6834" w14:textId="77777777" w:rsidR="00463CE2" w:rsidRPr="00CD36DB" w:rsidRDefault="00463CE2">
      <w:pPr>
        <w:rPr>
          <w:rFonts w:ascii="Times New Roman" w:eastAsia="Arial" w:hAnsi="Times New Roman" w:cs="Times New Roman"/>
          <w:sz w:val="24"/>
          <w:szCs w:val="24"/>
        </w:rPr>
      </w:pPr>
    </w:p>
    <w:p w14:paraId="41A0738C" w14:textId="77777777" w:rsidR="00463CE2" w:rsidRPr="00CD36DB" w:rsidRDefault="00463CE2">
      <w:pPr>
        <w:spacing w:before="7"/>
        <w:rPr>
          <w:rFonts w:ascii="Times New Roman" w:eastAsia="Arial" w:hAnsi="Times New Roman" w:cs="Times New Roman"/>
          <w:sz w:val="24"/>
          <w:szCs w:val="24"/>
        </w:rPr>
      </w:pPr>
    </w:p>
    <w:p w14:paraId="437DA7D6" w14:textId="77777777" w:rsidR="00463CE2" w:rsidRPr="00CD36DB" w:rsidRDefault="00245737">
      <w:pPr>
        <w:pStyle w:val="Textoindependiente"/>
        <w:spacing w:before="69"/>
        <w:jc w:val="both"/>
        <w:rPr>
          <w:rFonts w:ascii="Times New Roman" w:hAnsi="Times New Roman" w:cs="Times New Roman"/>
        </w:rPr>
      </w:pPr>
      <w:r w:rsidRPr="00CD36DB">
        <w:rPr>
          <w:rFonts w:ascii="Times New Roman" w:hAnsi="Times New Roman" w:cs="Times New Roman"/>
          <w:lang w:val="es"/>
        </w:rPr>
        <w:t>Palacio Hincapié).</w:t>
      </w:r>
    </w:p>
    <w:p w14:paraId="469C9EC0" w14:textId="77777777" w:rsidR="00463CE2" w:rsidRPr="00CD36DB" w:rsidRDefault="00463CE2">
      <w:pPr>
        <w:rPr>
          <w:rFonts w:ascii="Times New Roman" w:eastAsia="Arial" w:hAnsi="Times New Roman" w:cs="Times New Roman"/>
          <w:sz w:val="24"/>
          <w:szCs w:val="24"/>
        </w:rPr>
      </w:pPr>
    </w:p>
    <w:p w14:paraId="0182F5B5" w14:textId="068CFCE7" w:rsidR="00463CE2" w:rsidRPr="00CD36DB" w:rsidRDefault="00245737">
      <w:pPr>
        <w:pStyle w:val="Textoindependiente"/>
        <w:ind w:right="117"/>
        <w:jc w:val="both"/>
        <w:rPr>
          <w:rFonts w:ascii="Times New Roman" w:hAnsi="Times New Roman" w:cs="Times New Roman"/>
        </w:rPr>
      </w:pPr>
      <w:r w:rsidRPr="00CD36DB">
        <w:rPr>
          <w:rFonts w:ascii="Times New Roman" w:hAnsi="Times New Roman" w:cs="Times New Roman"/>
          <w:lang w:val="es"/>
        </w:rPr>
        <w:t>3.2- Bajo estas consideraciones, la legalidad de los actos encaminados a liquidar el tributo y/o a sancionar por no declararlo, depende de que motiven con suficiencia fáctica y jurídica la realización del hecho generador en los términos propuestos.  En consecuencia, si el contribuyente demuestra que ejerció adecuadamente la actividad comercial en otro municipio y por cuyo ejercicio tributó en esa jurisdicción, el Distrito Capital no puede gravarlo por los ingresos que generados fuera de su territorio.</w:t>
      </w:r>
    </w:p>
    <w:p w14:paraId="1818DEF2" w14:textId="77777777" w:rsidR="00463CE2" w:rsidRPr="00CD36DB" w:rsidRDefault="00463CE2">
      <w:pPr>
        <w:spacing w:before="1"/>
        <w:rPr>
          <w:rFonts w:ascii="Times New Roman" w:eastAsia="Arial" w:hAnsi="Times New Roman" w:cs="Times New Roman"/>
          <w:sz w:val="24"/>
          <w:szCs w:val="24"/>
        </w:rPr>
      </w:pPr>
    </w:p>
    <w:p w14:paraId="0D2DBA9E" w14:textId="3F6984DD" w:rsidR="00463CE2" w:rsidRPr="00CD36DB" w:rsidRDefault="00245737">
      <w:pPr>
        <w:pStyle w:val="Prrafodelista"/>
        <w:numPr>
          <w:ilvl w:val="0"/>
          <w:numId w:val="3"/>
        </w:numPr>
        <w:tabs>
          <w:tab w:val="left" w:pos="822"/>
        </w:tabs>
        <w:ind w:right="121" w:firstLine="0"/>
        <w:jc w:val="both"/>
        <w:rPr>
          <w:rFonts w:ascii="Times New Roman" w:eastAsia="Arial" w:hAnsi="Times New Roman" w:cs="Times New Roman"/>
          <w:sz w:val="24"/>
          <w:szCs w:val="24"/>
        </w:rPr>
      </w:pPr>
      <w:r w:rsidRPr="00CD36DB">
        <w:rPr>
          <w:rFonts w:ascii="Times New Roman" w:hAnsi="Times New Roman" w:cs="Times New Roman"/>
          <w:sz w:val="24"/>
          <w:szCs w:val="24"/>
          <w:lang w:val="es"/>
        </w:rPr>
        <w:t>Precisado el derecho aplicable al caso, según los precedentes fijados por la Sección, los hechos que la Sala encuentra probados para darle solución al problema jurídico son:</w:t>
      </w:r>
    </w:p>
    <w:p w14:paraId="2E5CF011" w14:textId="77777777" w:rsidR="00463CE2" w:rsidRPr="00CD36DB" w:rsidRDefault="00463CE2">
      <w:pPr>
        <w:rPr>
          <w:rFonts w:ascii="Times New Roman" w:eastAsia="Arial" w:hAnsi="Times New Roman" w:cs="Times New Roman"/>
          <w:sz w:val="24"/>
          <w:szCs w:val="24"/>
        </w:rPr>
      </w:pPr>
    </w:p>
    <w:p w14:paraId="3E7281E6" w14:textId="74EFEF02" w:rsidR="00463CE2" w:rsidRPr="00CD36DB" w:rsidRDefault="00245737">
      <w:pPr>
        <w:pStyle w:val="Prrafodelista"/>
        <w:numPr>
          <w:ilvl w:val="0"/>
          <w:numId w:val="2"/>
        </w:numPr>
        <w:tabs>
          <w:tab w:val="left" w:pos="846"/>
        </w:tabs>
        <w:ind w:right="115" w:firstLine="0"/>
        <w:jc w:val="both"/>
        <w:rPr>
          <w:rFonts w:ascii="Times New Roman" w:eastAsia="Arial" w:hAnsi="Times New Roman" w:cs="Times New Roman"/>
          <w:sz w:val="24"/>
          <w:szCs w:val="24"/>
        </w:rPr>
      </w:pPr>
      <w:r w:rsidRPr="00CD36DB">
        <w:rPr>
          <w:rFonts w:ascii="Times New Roman" w:hAnsi="Times New Roman" w:cs="Times New Roman"/>
          <w:sz w:val="24"/>
          <w:szCs w:val="24"/>
          <w:lang w:val="es"/>
        </w:rPr>
        <w:t>Según certificado de existencia y representación legal de la demandante, su objeto social principal consiste en la comercialización de productos de consumo masivo para el hogar, alimentos, bebidas, cosméticos, medicamentos y, en general, toda clase bienes para uso en las industrias, instituciones públicas o privadas o cualquier otra clase de entidad de naturaleza civil o comercial (</w:t>
      </w:r>
      <w:proofErr w:type="spellStart"/>
      <w:r w:rsidRPr="00CD36DB">
        <w:rPr>
          <w:rFonts w:ascii="Times New Roman" w:hAnsi="Times New Roman" w:cs="Times New Roman"/>
          <w:sz w:val="24"/>
          <w:szCs w:val="24"/>
          <w:lang w:val="es"/>
        </w:rPr>
        <w:t>ff</w:t>
      </w:r>
      <w:proofErr w:type="spellEnd"/>
      <w:r w:rsidRPr="00CD36DB">
        <w:rPr>
          <w:rFonts w:ascii="Times New Roman" w:hAnsi="Times New Roman" w:cs="Times New Roman"/>
          <w:sz w:val="24"/>
          <w:szCs w:val="24"/>
          <w:lang w:val="es"/>
        </w:rPr>
        <w:t>. 5 vto. a 6 ca1):</w:t>
      </w:r>
    </w:p>
    <w:p w14:paraId="49EE1BD9" w14:textId="77777777" w:rsidR="00463CE2" w:rsidRPr="00CD36DB" w:rsidRDefault="00463CE2">
      <w:pPr>
        <w:rPr>
          <w:rFonts w:ascii="Times New Roman" w:eastAsia="Arial" w:hAnsi="Times New Roman" w:cs="Times New Roman"/>
          <w:sz w:val="24"/>
          <w:szCs w:val="24"/>
        </w:rPr>
      </w:pPr>
    </w:p>
    <w:p w14:paraId="4EAF3A55" w14:textId="33B10E06" w:rsidR="00463CE2" w:rsidRPr="00CD36DB" w:rsidRDefault="00245737">
      <w:pPr>
        <w:pStyle w:val="Prrafodelista"/>
        <w:numPr>
          <w:ilvl w:val="0"/>
          <w:numId w:val="2"/>
        </w:numPr>
        <w:tabs>
          <w:tab w:val="left" w:pos="885"/>
        </w:tabs>
        <w:ind w:right="123" w:firstLine="0"/>
        <w:jc w:val="both"/>
        <w:rPr>
          <w:rFonts w:ascii="Times New Roman" w:eastAsia="Arial" w:hAnsi="Times New Roman" w:cs="Times New Roman"/>
          <w:sz w:val="24"/>
          <w:szCs w:val="24"/>
        </w:rPr>
      </w:pPr>
      <w:r w:rsidRPr="00CD36DB">
        <w:rPr>
          <w:rFonts w:ascii="Times New Roman" w:hAnsi="Times New Roman" w:cs="Times New Roman"/>
          <w:sz w:val="24"/>
          <w:szCs w:val="24"/>
          <w:lang w:val="es"/>
        </w:rPr>
        <w:t>Mediante memorial dirigido a la Secretaria de Hacienda Distrital, del 03 de marzo de 2006, la contribuyente informó el trasladó de su domicilio al municipio de Cota (ff.  124).</w:t>
      </w:r>
    </w:p>
    <w:p w14:paraId="335DBB4D" w14:textId="77777777" w:rsidR="00463CE2" w:rsidRPr="00CD36DB" w:rsidRDefault="00463CE2">
      <w:pPr>
        <w:rPr>
          <w:rFonts w:ascii="Times New Roman" w:eastAsia="Arial" w:hAnsi="Times New Roman" w:cs="Times New Roman"/>
          <w:sz w:val="24"/>
          <w:szCs w:val="24"/>
        </w:rPr>
      </w:pPr>
    </w:p>
    <w:p w14:paraId="2DE74C72" w14:textId="77777777" w:rsidR="00463CE2" w:rsidRPr="00CD36DB" w:rsidRDefault="00245737">
      <w:pPr>
        <w:pStyle w:val="Prrafodelista"/>
        <w:numPr>
          <w:ilvl w:val="0"/>
          <w:numId w:val="2"/>
        </w:numPr>
        <w:tabs>
          <w:tab w:val="left" w:pos="937"/>
        </w:tabs>
        <w:ind w:right="120" w:firstLine="0"/>
        <w:jc w:val="both"/>
        <w:rPr>
          <w:rFonts w:ascii="Times New Roman" w:eastAsia="Arial" w:hAnsi="Times New Roman" w:cs="Times New Roman"/>
          <w:sz w:val="24"/>
          <w:szCs w:val="24"/>
        </w:rPr>
      </w:pPr>
      <w:r w:rsidRPr="00CD36DB">
        <w:rPr>
          <w:rFonts w:ascii="Times New Roman" w:hAnsi="Times New Roman" w:cs="Times New Roman"/>
          <w:sz w:val="24"/>
          <w:szCs w:val="24"/>
          <w:lang w:val="es"/>
        </w:rPr>
        <w:t>El 06 de julio de 2012, la demandada realizó visita de verificación o cruce en el marco  de la cual recibió la relación de los clientes ubicados en el distrito  capital durante los periodos gravables 1.º a 6.º de los años 2008 a 2010;  certificación del revisor fiscal con el detalle de los procedimientos previstos  para realizar las ventas y la distribución de los productos;  copia de facturas con los clientes dentro de esos periodos y declaraciones  presentadas en Cota en los años 2008 a 2011 (ff. 24 y 25 ca1).</w:t>
      </w:r>
    </w:p>
    <w:p w14:paraId="1D6C723B" w14:textId="77777777" w:rsidR="00463CE2" w:rsidRPr="00CD36DB" w:rsidRDefault="00463CE2">
      <w:pPr>
        <w:spacing w:before="1"/>
        <w:rPr>
          <w:rFonts w:ascii="Times New Roman" w:eastAsia="Arial" w:hAnsi="Times New Roman" w:cs="Times New Roman"/>
          <w:sz w:val="24"/>
          <w:szCs w:val="24"/>
        </w:rPr>
      </w:pPr>
    </w:p>
    <w:p w14:paraId="6466F97A" w14:textId="5614D5B3" w:rsidR="00463CE2" w:rsidRPr="00CD36DB" w:rsidRDefault="00245737">
      <w:pPr>
        <w:pStyle w:val="Prrafodelista"/>
        <w:numPr>
          <w:ilvl w:val="0"/>
          <w:numId w:val="2"/>
        </w:numPr>
        <w:tabs>
          <w:tab w:val="left" w:pos="952"/>
        </w:tabs>
        <w:ind w:right="114" w:firstLine="0"/>
        <w:jc w:val="both"/>
        <w:rPr>
          <w:rFonts w:ascii="Times New Roman" w:eastAsia="Arial" w:hAnsi="Times New Roman" w:cs="Times New Roman"/>
          <w:sz w:val="24"/>
          <w:szCs w:val="24"/>
        </w:rPr>
      </w:pPr>
      <w:r w:rsidRPr="00CD36DB">
        <w:rPr>
          <w:rFonts w:ascii="Times New Roman" w:hAnsi="Times New Roman" w:cs="Times New Roman"/>
          <w:sz w:val="24"/>
          <w:szCs w:val="24"/>
          <w:lang w:val="es"/>
        </w:rPr>
        <w:t>Mediante certificación del 05 de julio de 2012, aportada en el marco de la diligencia antes descrita, el revisor fiscal de la demandante relató el procedimiento de venta de la mercancía.  Señaló que inicia cuando el cliente, con apoyo del asesor comercial, realiza el pedido sugerido y mediante correo electrónico o formato diligenciado lo envía al área de logística de la actora; y que si el pedido cumple con las condiciones comerciales (</w:t>
      </w:r>
      <w:r w:rsidRPr="00CD36DB">
        <w:rPr>
          <w:rFonts w:ascii="Times New Roman" w:hAnsi="Times New Roman" w:cs="Times New Roman"/>
          <w:i/>
          <w:sz w:val="24"/>
          <w:szCs w:val="24"/>
          <w:lang w:val="es"/>
        </w:rPr>
        <w:t>i.e</w:t>
      </w:r>
      <w:r w:rsidRPr="00CD36DB">
        <w:rPr>
          <w:rFonts w:ascii="Times New Roman" w:hAnsi="Times New Roman" w:cs="Times New Roman"/>
          <w:sz w:val="24"/>
          <w:szCs w:val="24"/>
          <w:lang w:val="es"/>
        </w:rPr>
        <w:t>.  cartera, disponibilidad de la mercancía, etc.), se aprueba la venta, se genera factura y se remite para la entrega (</w:t>
      </w:r>
      <w:proofErr w:type="spellStart"/>
      <w:r w:rsidRPr="00CD36DB">
        <w:rPr>
          <w:rFonts w:ascii="Times New Roman" w:hAnsi="Times New Roman" w:cs="Times New Roman"/>
          <w:sz w:val="24"/>
          <w:szCs w:val="24"/>
          <w:lang w:val="es"/>
        </w:rPr>
        <w:t>ff</w:t>
      </w:r>
      <w:proofErr w:type="spellEnd"/>
      <w:r w:rsidRPr="00CD36DB">
        <w:rPr>
          <w:rFonts w:ascii="Times New Roman" w:hAnsi="Times New Roman" w:cs="Times New Roman"/>
          <w:sz w:val="24"/>
          <w:szCs w:val="24"/>
          <w:lang w:val="es"/>
        </w:rPr>
        <w:t>. 27 a 29 ca1).</w:t>
      </w:r>
    </w:p>
    <w:p w14:paraId="5D7DB86D" w14:textId="77777777" w:rsidR="00463CE2" w:rsidRPr="00CD36DB" w:rsidRDefault="00463CE2">
      <w:pPr>
        <w:spacing w:before="11"/>
        <w:rPr>
          <w:rFonts w:ascii="Times New Roman" w:eastAsia="Arial" w:hAnsi="Times New Roman" w:cs="Times New Roman"/>
          <w:sz w:val="24"/>
          <w:szCs w:val="24"/>
        </w:rPr>
      </w:pPr>
    </w:p>
    <w:p w14:paraId="2EB5C330" w14:textId="77777777" w:rsidR="00002CFB" w:rsidRPr="00CD36DB" w:rsidRDefault="00245737" w:rsidP="00002CFB">
      <w:pPr>
        <w:pStyle w:val="Textoindependiente"/>
        <w:spacing w:before="69"/>
        <w:ind w:left="0" w:right="124"/>
        <w:jc w:val="both"/>
        <w:rPr>
          <w:rFonts w:ascii="Times New Roman" w:hAnsi="Times New Roman" w:cs="Times New Roman"/>
        </w:rPr>
      </w:pPr>
      <w:r w:rsidRPr="00CD36DB">
        <w:rPr>
          <w:rFonts w:ascii="Times New Roman" w:hAnsi="Times New Roman" w:cs="Times New Roman"/>
          <w:lang w:val="es"/>
        </w:rPr>
        <w:t>El 01 de octubre de 2012, la Administración requ</w:t>
      </w:r>
      <w:r w:rsidR="00002CFB">
        <w:rPr>
          <w:rFonts w:ascii="Times New Roman" w:hAnsi="Times New Roman" w:cs="Times New Roman"/>
          <w:lang w:val="es"/>
        </w:rPr>
        <w:t>i</w:t>
      </w:r>
      <w:r w:rsidRPr="00CD36DB">
        <w:rPr>
          <w:rFonts w:ascii="Times New Roman" w:hAnsi="Times New Roman" w:cs="Times New Roman"/>
          <w:lang w:val="es"/>
        </w:rPr>
        <w:t>rió información a los</w:t>
      </w:r>
      <w:r w:rsidR="00002CFB">
        <w:rPr>
          <w:rFonts w:ascii="Times New Roman" w:hAnsi="Times New Roman" w:cs="Times New Roman"/>
          <w:lang w:val="es"/>
        </w:rPr>
        <w:t xml:space="preserve">   </w:t>
      </w:r>
      <w:r w:rsidR="00002CFB" w:rsidRPr="00CD36DB">
        <w:rPr>
          <w:rFonts w:ascii="Times New Roman" w:hAnsi="Times New Roman" w:cs="Times New Roman"/>
          <w:lang w:val="es"/>
        </w:rPr>
        <w:t>clientes de la actora, que en resumidas cuentas fueron atendidos así (</w:t>
      </w:r>
      <w:proofErr w:type="spellStart"/>
      <w:r w:rsidR="00002CFB" w:rsidRPr="00CD36DB">
        <w:rPr>
          <w:rFonts w:ascii="Times New Roman" w:hAnsi="Times New Roman" w:cs="Times New Roman"/>
          <w:lang w:val="es"/>
        </w:rPr>
        <w:t>ff</w:t>
      </w:r>
      <w:proofErr w:type="spellEnd"/>
      <w:r w:rsidR="00002CFB" w:rsidRPr="00CD36DB">
        <w:rPr>
          <w:rFonts w:ascii="Times New Roman" w:hAnsi="Times New Roman" w:cs="Times New Roman"/>
          <w:lang w:val="es"/>
        </w:rPr>
        <w:t>.  591 a 600 ca4):</w:t>
      </w:r>
    </w:p>
    <w:p w14:paraId="4CC02885" w14:textId="281E5529" w:rsidR="00463CE2" w:rsidRPr="00002CFB" w:rsidRDefault="00463CE2" w:rsidP="00002CFB">
      <w:pPr>
        <w:pStyle w:val="Prrafodelista"/>
        <w:numPr>
          <w:ilvl w:val="0"/>
          <w:numId w:val="2"/>
        </w:numPr>
        <w:tabs>
          <w:tab w:val="left" w:pos="933"/>
        </w:tabs>
        <w:ind w:left="932" w:hanging="384"/>
        <w:jc w:val="both"/>
        <w:rPr>
          <w:rFonts w:ascii="Times New Roman" w:eastAsia="Arial" w:hAnsi="Times New Roman" w:cs="Times New Roman"/>
          <w:sz w:val="24"/>
          <w:szCs w:val="24"/>
        </w:rPr>
        <w:sectPr w:rsidR="00463CE2" w:rsidRPr="00002CFB" w:rsidSect="00CD36DB">
          <w:pgSz w:w="12240" w:h="15840" w:code="1"/>
          <w:pgMar w:top="1134" w:right="1134" w:bottom="1134" w:left="1418" w:header="720" w:footer="720" w:gutter="0"/>
          <w:cols w:space="720"/>
          <w:docGrid w:linePitch="299"/>
        </w:sectPr>
      </w:pPr>
    </w:p>
    <w:p w14:paraId="1F059CED" w14:textId="77777777" w:rsidR="00463CE2" w:rsidRPr="00CD36DB" w:rsidRDefault="00463CE2">
      <w:pPr>
        <w:rPr>
          <w:rFonts w:ascii="Times New Roman" w:eastAsia="Arial" w:hAnsi="Times New Roman" w:cs="Times New Roman"/>
          <w:sz w:val="24"/>
          <w:szCs w:val="24"/>
        </w:rPr>
      </w:pPr>
    </w:p>
    <w:p w14:paraId="3561F7E1" w14:textId="25E61D05" w:rsidR="00463CE2" w:rsidRPr="00CD36DB" w:rsidRDefault="00245737">
      <w:pPr>
        <w:pStyle w:val="Textoindependiente"/>
        <w:ind w:right="121"/>
        <w:jc w:val="both"/>
        <w:rPr>
          <w:rFonts w:ascii="Times New Roman" w:hAnsi="Times New Roman" w:cs="Times New Roman"/>
        </w:rPr>
      </w:pPr>
      <w:r w:rsidRPr="00CD36DB">
        <w:rPr>
          <w:rFonts w:ascii="Times New Roman" w:hAnsi="Times New Roman" w:cs="Times New Roman"/>
          <w:lang w:val="es"/>
        </w:rPr>
        <w:t xml:space="preserve">La caja de compensación familiar </w:t>
      </w:r>
      <w:r w:rsidRPr="00CD36DB">
        <w:rPr>
          <w:rFonts w:ascii="Times New Roman" w:hAnsi="Times New Roman" w:cs="Times New Roman"/>
          <w:i/>
          <w:lang w:val="es"/>
        </w:rPr>
        <w:t>Cafam</w:t>
      </w:r>
      <w:r w:rsidRPr="00CD36DB">
        <w:rPr>
          <w:rFonts w:ascii="Times New Roman" w:hAnsi="Times New Roman" w:cs="Times New Roman"/>
          <w:lang w:val="es"/>
        </w:rPr>
        <w:t xml:space="preserve"> afirmó que el proceso de compra se compone de la solicitud de documentos al proveedor, análisis del producto, emisión de concepto técnico y aceptación; que el pedido se registra por el sistema de pedidos denominado </w:t>
      </w:r>
      <w:proofErr w:type="gramStart"/>
      <w:r w:rsidRPr="00CD36DB">
        <w:rPr>
          <w:rFonts w:ascii="Times New Roman" w:hAnsi="Times New Roman" w:cs="Times New Roman"/>
          <w:lang w:val="es"/>
        </w:rPr>
        <w:t xml:space="preserve">« </w:t>
      </w:r>
      <w:proofErr w:type="spellStart"/>
      <w:r w:rsidRPr="00CD36DB">
        <w:rPr>
          <w:rFonts w:ascii="Times New Roman" w:hAnsi="Times New Roman" w:cs="Times New Roman"/>
          <w:i/>
          <w:lang w:val="es"/>
        </w:rPr>
        <w:t>cross</w:t>
      </w:r>
      <w:proofErr w:type="spellEnd"/>
      <w:proofErr w:type="gramEnd"/>
      <w:r w:rsidRPr="00CD36DB">
        <w:rPr>
          <w:rFonts w:ascii="Times New Roman" w:hAnsi="Times New Roman" w:cs="Times New Roman"/>
          <w:i/>
          <w:lang w:val="es"/>
        </w:rPr>
        <w:t xml:space="preserve"> </w:t>
      </w:r>
      <w:proofErr w:type="spellStart"/>
      <w:r w:rsidRPr="00CD36DB">
        <w:rPr>
          <w:rFonts w:ascii="Times New Roman" w:hAnsi="Times New Roman" w:cs="Times New Roman"/>
          <w:i/>
          <w:lang w:val="es"/>
        </w:rPr>
        <w:t>docking</w:t>
      </w:r>
      <w:proofErr w:type="spellEnd"/>
      <w:r w:rsidRPr="00CD36DB">
        <w:rPr>
          <w:rFonts w:ascii="Times New Roman" w:hAnsi="Times New Roman" w:cs="Times New Roman"/>
          <w:lang w:val="es"/>
        </w:rPr>
        <w:t>» (</w:t>
      </w:r>
      <w:proofErr w:type="spellStart"/>
      <w:r w:rsidRPr="00CD36DB">
        <w:rPr>
          <w:rFonts w:ascii="Times New Roman" w:hAnsi="Times New Roman" w:cs="Times New Roman"/>
          <w:lang w:val="es"/>
        </w:rPr>
        <w:t>ff</w:t>
      </w:r>
      <w:proofErr w:type="spellEnd"/>
      <w:r w:rsidRPr="00CD36DB">
        <w:rPr>
          <w:rFonts w:ascii="Times New Roman" w:hAnsi="Times New Roman" w:cs="Times New Roman"/>
          <w:lang w:val="es"/>
        </w:rPr>
        <w:t>. 659 a 663 ca4).</w:t>
      </w:r>
    </w:p>
    <w:p w14:paraId="0A6F4D08" w14:textId="77777777" w:rsidR="00463CE2" w:rsidRPr="00CD36DB" w:rsidRDefault="00463CE2">
      <w:pPr>
        <w:rPr>
          <w:rFonts w:ascii="Times New Roman" w:eastAsia="Arial" w:hAnsi="Times New Roman" w:cs="Times New Roman"/>
          <w:sz w:val="24"/>
          <w:szCs w:val="24"/>
        </w:rPr>
      </w:pPr>
    </w:p>
    <w:p w14:paraId="6AEADAA9" w14:textId="0CD00B9C" w:rsidR="00463CE2" w:rsidRPr="00CD36DB" w:rsidRDefault="00245737">
      <w:pPr>
        <w:pStyle w:val="Textoindependiente"/>
        <w:ind w:right="115"/>
        <w:jc w:val="both"/>
        <w:rPr>
          <w:rFonts w:ascii="Times New Roman" w:hAnsi="Times New Roman" w:cs="Times New Roman"/>
        </w:rPr>
      </w:pPr>
      <w:r w:rsidRPr="00CD36DB">
        <w:rPr>
          <w:rFonts w:ascii="Times New Roman" w:hAnsi="Times New Roman" w:cs="Times New Roman"/>
          <w:i/>
          <w:lang w:val="es"/>
        </w:rPr>
        <w:t>Panamericana Librería y Papelería</w:t>
      </w:r>
      <w:r w:rsidRPr="00CD36DB">
        <w:rPr>
          <w:rFonts w:ascii="Times New Roman" w:hAnsi="Times New Roman" w:cs="Times New Roman"/>
          <w:lang w:val="es"/>
        </w:rPr>
        <w:t xml:space="preserve"> manifestó que el proveedor envía por diferentes medios (catálogos, comunicaciones de mercadeo, presentaciones de productos etc.) la propuesta al departamento de compras; que este departamento la estudiada y, si </w:t>
      </w:r>
      <w:r w:rsidRPr="00CD36DB">
        <w:rPr>
          <w:rFonts w:ascii="Times New Roman" w:hAnsi="Times New Roman" w:cs="Times New Roman"/>
          <w:spacing w:val="2"/>
          <w:lang w:val="es"/>
        </w:rPr>
        <w:t xml:space="preserve">es </w:t>
      </w:r>
      <w:r w:rsidRPr="00CD36DB">
        <w:rPr>
          <w:rFonts w:ascii="Times New Roman" w:hAnsi="Times New Roman" w:cs="Times New Roman"/>
          <w:lang w:val="es"/>
        </w:rPr>
        <w:t>viable, se convoca una cita en las oficinas de Bogotá para presentar las muestras físicas; y que, una vez evaluada la propuesta, se llega a un acuerdo comercial entre las partes.  Por último, cuando se realiza una orden de compra telefónicamente se acuerda la entrega de la mercancía (</w:t>
      </w:r>
      <w:proofErr w:type="spellStart"/>
      <w:r w:rsidRPr="00CD36DB">
        <w:rPr>
          <w:rFonts w:ascii="Times New Roman" w:hAnsi="Times New Roman" w:cs="Times New Roman"/>
          <w:lang w:val="es"/>
        </w:rPr>
        <w:t>ff</w:t>
      </w:r>
      <w:proofErr w:type="spellEnd"/>
      <w:r w:rsidRPr="00CD36DB">
        <w:rPr>
          <w:rFonts w:ascii="Times New Roman" w:hAnsi="Times New Roman" w:cs="Times New Roman"/>
          <w:lang w:val="es"/>
        </w:rPr>
        <w:t>. 693 a 695 ca4).</w:t>
      </w:r>
    </w:p>
    <w:p w14:paraId="4ED36C6C" w14:textId="77777777" w:rsidR="00463CE2" w:rsidRPr="00CD36DB" w:rsidRDefault="00463CE2">
      <w:pPr>
        <w:rPr>
          <w:rFonts w:ascii="Times New Roman" w:eastAsia="Arial" w:hAnsi="Times New Roman" w:cs="Times New Roman"/>
          <w:sz w:val="24"/>
          <w:szCs w:val="24"/>
        </w:rPr>
      </w:pPr>
    </w:p>
    <w:p w14:paraId="1FF33BC9" w14:textId="4C9B4592" w:rsidR="00463CE2" w:rsidRPr="00CD36DB" w:rsidRDefault="00245737">
      <w:pPr>
        <w:pStyle w:val="Textoindependiente"/>
        <w:ind w:right="120"/>
        <w:jc w:val="both"/>
        <w:rPr>
          <w:rFonts w:ascii="Times New Roman" w:hAnsi="Times New Roman" w:cs="Times New Roman"/>
        </w:rPr>
      </w:pPr>
      <w:r w:rsidRPr="00CD36DB">
        <w:rPr>
          <w:rFonts w:ascii="Times New Roman" w:hAnsi="Times New Roman" w:cs="Times New Roman"/>
          <w:lang w:val="es"/>
        </w:rPr>
        <w:t xml:space="preserve">El </w:t>
      </w:r>
      <w:r w:rsidRPr="00CD36DB">
        <w:rPr>
          <w:rFonts w:ascii="Times New Roman" w:hAnsi="Times New Roman" w:cs="Times New Roman"/>
          <w:i/>
          <w:lang w:val="es"/>
        </w:rPr>
        <w:t>Mercado Zapatoca</w:t>
      </w:r>
      <w:r w:rsidRPr="00CD36DB">
        <w:rPr>
          <w:rFonts w:ascii="Times New Roman" w:hAnsi="Times New Roman" w:cs="Times New Roman"/>
          <w:lang w:val="es"/>
        </w:rPr>
        <w:t xml:space="preserve"> señaló que la actora, en reuniones con su jefe de compras, aporta la carta de presentación de la mercancía, con descripción, lista de precios, descuentos ofrecidos, plazos y formas de pago; y que una vez aceptada se debe diligenciar una ficha técnica que incluye datos básicos y régimen de negociaciones pactadas. Los pedidos se hacen por correo electrónico, personalmente o por otros medios (</w:t>
      </w:r>
      <w:proofErr w:type="spellStart"/>
      <w:r w:rsidRPr="00CD36DB">
        <w:rPr>
          <w:rFonts w:ascii="Times New Roman" w:hAnsi="Times New Roman" w:cs="Times New Roman"/>
          <w:lang w:val="es"/>
        </w:rPr>
        <w:t>ff</w:t>
      </w:r>
      <w:proofErr w:type="spellEnd"/>
      <w:r w:rsidRPr="00CD36DB">
        <w:rPr>
          <w:rFonts w:ascii="Times New Roman" w:hAnsi="Times New Roman" w:cs="Times New Roman"/>
          <w:lang w:val="es"/>
        </w:rPr>
        <w:t>. 703 a 712 ca4).</w:t>
      </w:r>
    </w:p>
    <w:p w14:paraId="51494B9C" w14:textId="77777777" w:rsidR="00463CE2" w:rsidRPr="00CD36DB" w:rsidRDefault="00463CE2">
      <w:pPr>
        <w:rPr>
          <w:rFonts w:ascii="Times New Roman" w:eastAsia="Arial" w:hAnsi="Times New Roman" w:cs="Times New Roman"/>
          <w:sz w:val="24"/>
          <w:szCs w:val="24"/>
        </w:rPr>
      </w:pPr>
    </w:p>
    <w:p w14:paraId="03E6855B" w14:textId="7BC8D038" w:rsidR="00463CE2" w:rsidRPr="00CD36DB" w:rsidRDefault="00245737">
      <w:pPr>
        <w:pStyle w:val="Textoindependiente"/>
        <w:ind w:right="123"/>
        <w:jc w:val="both"/>
        <w:rPr>
          <w:rFonts w:ascii="Times New Roman" w:hAnsi="Times New Roman" w:cs="Times New Roman"/>
        </w:rPr>
      </w:pPr>
      <w:r w:rsidRPr="00CD36DB">
        <w:rPr>
          <w:rFonts w:ascii="Times New Roman" w:hAnsi="Times New Roman" w:cs="Times New Roman"/>
          <w:i/>
          <w:lang w:val="es"/>
        </w:rPr>
        <w:t>Almacenes La 14 de Cali</w:t>
      </w:r>
      <w:r w:rsidRPr="00CD36DB">
        <w:rPr>
          <w:rFonts w:ascii="Times New Roman" w:hAnsi="Times New Roman" w:cs="Times New Roman"/>
          <w:lang w:val="es"/>
        </w:rPr>
        <w:t xml:space="preserve"> relató que para realizar los pedidos se envía un formato y la lista de los productos requeridos; que posteriormente pasa al área de sistemas y se le entrega al proveedor la orden para que proceda con el despacho (</w:t>
      </w:r>
      <w:proofErr w:type="spellStart"/>
      <w:r w:rsidRPr="00CD36DB">
        <w:rPr>
          <w:rFonts w:ascii="Times New Roman" w:hAnsi="Times New Roman" w:cs="Times New Roman"/>
          <w:lang w:val="es"/>
        </w:rPr>
        <w:t>ff</w:t>
      </w:r>
      <w:proofErr w:type="spellEnd"/>
      <w:r w:rsidRPr="00CD36DB">
        <w:rPr>
          <w:rFonts w:ascii="Times New Roman" w:hAnsi="Times New Roman" w:cs="Times New Roman"/>
          <w:lang w:val="es"/>
        </w:rPr>
        <w:t>. 725 a 729 ca4).</w:t>
      </w:r>
    </w:p>
    <w:p w14:paraId="3D9693D4" w14:textId="77777777" w:rsidR="00463CE2" w:rsidRPr="00CD36DB" w:rsidRDefault="00463CE2">
      <w:pPr>
        <w:rPr>
          <w:rFonts w:ascii="Times New Roman" w:eastAsia="Arial" w:hAnsi="Times New Roman" w:cs="Times New Roman"/>
          <w:sz w:val="24"/>
          <w:szCs w:val="24"/>
        </w:rPr>
      </w:pPr>
    </w:p>
    <w:p w14:paraId="54B20674" w14:textId="42D4BB31" w:rsidR="00463CE2" w:rsidRPr="00CD36DB" w:rsidRDefault="00245737">
      <w:pPr>
        <w:pStyle w:val="Textoindependiente"/>
        <w:ind w:right="119"/>
        <w:jc w:val="both"/>
        <w:rPr>
          <w:rFonts w:ascii="Times New Roman" w:hAnsi="Times New Roman" w:cs="Times New Roman"/>
        </w:rPr>
      </w:pPr>
      <w:r w:rsidRPr="00CD36DB">
        <w:rPr>
          <w:rFonts w:ascii="Times New Roman" w:hAnsi="Times New Roman" w:cs="Times New Roman"/>
          <w:lang w:val="es"/>
        </w:rPr>
        <w:t>Por último,</w:t>
      </w:r>
      <w:r w:rsidRPr="00CD36DB">
        <w:rPr>
          <w:rFonts w:ascii="Times New Roman" w:hAnsi="Times New Roman" w:cs="Times New Roman"/>
          <w:i/>
          <w:lang w:val="es"/>
        </w:rPr>
        <w:t xml:space="preserve"> Grandes Superficies de Colombia</w:t>
      </w:r>
      <w:r w:rsidRPr="00CD36DB">
        <w:rPr>
          <w:rFonts w:ascii="Times New Roman" w:hAnsi="Times New Roman" w:cs="Times New Roman"/>
          <w:lang w:val="es"/>
        </w:rPr>
        <w:t xml:space="preserve"> describió que los pedidos se hacen desde el área de abastecimiento y son remitidos al proveedor vía internet a través del sistema de intercambio electrónico de datos (</w:t>
      </w:r>
      <w:proofErr w:type="spellStart"/>
      <w:r w:rsidRPr="00CD36DB">
        <w:rPr>
          <w:rFonts w:ascii="Times New Roman" w:hAnsi="Times New Roman" w:cs="Times New Roman"/>
          <w:lang w:val="es"/>
        </w:rPr>
        <w:t>ff</w:t>
      </w:r>
      <w:proofErr w:type="spellEnd"/>
      <w:r w:rsidRPr="00CD36DB">
        <w:rPr>
          <w:rFonts w:ascii="Times New Roman" w:hAnsi="Times New Roman" w:cs="Times New Roman"/>
          <w:lang w:val="es"/>
        </w:rPr>
        <w:t>.  741 a 743).</w:t>
      </w:r>
    </w:p>
    <w:p w14:paraId="4CAE7332" w14:textId="77777777" w:rsidR="00463CE2" w:rsidRPr="00CD36DB" w:rsidRDefault="00463CE2">
      <w:pPr>
        <w:spacing w:before="1"/>
        <w:rPr>
          <w:rFonts w:ascii="Times New Roman" w:eastAsia="Arial" w:hAnsi="Times New Roman" w:cs="Times New Roman"/>
          <w:sz w:val="24"/>
          <w:szCs w:val="24"/>
        </w:rPr>
      </w:pPr>
    </w:p>
    <w:p w14:paraId="5B8623F2" w14:textId="77777777" w:rsidR="00463CE2" w:rsidRPr="00CD36DB" w:rsidRDefault="00245737">
      <w:pPr>
        <w:pStyle w:val="Prrafodelista"/>
        <w:numPr>
          <w:ilvl w:val="0"/>
          <w:numId w:val="1"/>
        </w:numPr>
        <w:tabs>
          <w:tab w:val="left" w:pos="1117"/>
        </w:tabs>
        <w:ind w:right="118" w:firstLine="0"/>
        <w:jc w:val="both"/>
        <w:rPr>
          <w:rFonts w:ascii="Times New Roman" w:eastAsia="Arial" w:hAnsi="Times New Roman" w:cs="Times New Roman"/>
          <w:sz w:val="24"/>
          <w:szCs w:val="24"/>
        </w:rPr>
      </w:pPr>
      <w:r w:rsidRPr="00CD36DB">
        <w:rPr>
          <w:rFonts w:ascii="Times New Roman" w:hAnsi="Times New Roman" w:cs="Times New Roman"/>
          <w:sz w:val="24"/>
          <w:szCs w:val="24"/>
          <w:lang w:val="es"/>
        </w:rPr>
        <w:t>La demandante presentó y pagó las declaraciones del ICA correspondientes a los años gravables 2008, 2009, 2010 y 2011 en el municipio de Cota (ff. 391 a 398 ca2).</w:t>
      </w:r>
    </w:p>
    <w:p w14:paraId="441DF280" w14:textId="77777777" w:rsidR="00463CE2" w:rsidRPr="00CD36DB" w:rsidRDefault="00463CE2">
      <w:pPr>
        <w:rPr>
          <w:rFonts w:ascii="Times New Roman" w:eastAsia="Arial" w:hAnsi="Times New Roman" w:cs="Times New Roman"/>
          <w:sz w:val="24"/>
          <w:szCs w:val="24"/>
        </w:rPr>
      </w:pPr>
    </w:p>
    <w:p w14:paraId="4BECEE71" w14:textId="01771A22" w:rsidR="00463CE2" w:rsidRPr="00CD36DB" w:rsidRDefault="00245737">
      <w:pPr>
        <w:pStyle w:val="Prrafodelista"/>
        <w:numPr>
          <w:ilvl w:val="0"/>
          <w:numId w:val="1"/>
        </w:numPr>
        <w:tabs>
          <w:tab w:val="left" w:pos="997"/>
        </w:tabs>
        <w:ind w:right="114" w:firstLine="0"/>
        <w:jc w:val="both"/>
        <w:rPr>
          <w:rFonts w:ascii="Times New Roman" w:eastAsia="Arial" w:hAnsi="Times New Roman" w:cs="Times New Roman"/>
          <w:sz w:val="24"/>
          <w:szCs w:val="24"/>
        </w:rPr>
      </w:pPr>
      <w:r w:rsidRPr="00CD36DB">
        <w:rPr>
          <w:rFonts w:ascii="Times New Roman" w:hAnsi="Times New Roman" w:cs="Times New Roman"/>
          <w:sz w:val="24"/>
          <w:szCs w:val="24"/>
          <w:lang w:val="es"/>
        </w:rPr>
        <w:t>Mediante Resolución nro.  DDI 024598, del 02 de febrero de 2014, la demandada falló el recurso</w:t>
      </w:r>
      <w:r w:rsidR="001302B1">
        <w:rPr>
          <w:rFonts w:ascii="Times New Roman" w:hAnsi="Times New Roman" w:cs="Times New Roman"/>
          <w:sz w:val="24"/>
          <w:szCs w:val="24"/>
          <w:lang w:val="es"/>
        </w:rPr>
        <w:t xml:space="preserve"> </w:t>
      </w:r>
      <w:r w:rsidRPr="00CD36DB">
        <w:rPr>
          <w:rFonts w:ascii="Times New Roman" w:hAnsi="Times New Roman" w:cs="Times New Roman"/>
          <w:sz w:val="24"/>
          <w:szCs w:val="24"/>
          <w:lang w:val="es"/>
        </w:rPr>
        <w:t xml:space="preserve">de reconsideración interpuesto contra los actos que liquidaron el impuesto </w:t>
      </w:r>
      <w:r w:rsidR="001302B1" w:rsidRPr="00CD36DB">
        <w:rPr>
          <w:rFonts w:ascii="Times New Roman" w:hAnsi="Times New Roman" w:cs="Times New Roman"/>
          <w:sz w:val="24"/>
          <w:szCs w:val="24"/>
          <w:lang w:val="es"/>
        </w:rPr>
        <w:t>e impusieron</w:t>
      </w:r>
      <w:r w:rsidRPr="00CD36DB">
        <w:rPr>
          <w:rFonts w:ascii="Times New Roman" w:hAnsi="Times New Roman" w:cs="Times New Roman"/>
          <w:sz w:val="24"/>
          <w:szCs w:val="24"/>
          <w:lang w:val="es"/>
        </w:rPr>
        <w:t xml:space="preserve"> la sanción por no declarar (</w:t>
      </w:r>
      <w:proofErr w:type="spellStart"/>
      <w:r w:rsidRPr="00CD36DB">
        <w:rPr>
          <w:rFonts w:ascii="Times New Roman" w:hAnsi="Times New Roman" w:cs="Times New Roman"/>
          <w:sz w:val="24"/>
          <w:szCs w:val="24"/>
          <w:lang w:val="es"/>
        </w:rPr>
        <w:t>ff</w:t>
      </w:r>
      <w:proofErr w:type="spellEnd"/>
      <w:r w:rsidRPr="00CD36DB">
        <w:rPr>
          <w:rFonts w:ascii="Times New Roman" w:hAnsi="Times New Roman" w:cs="Times New Roman"/>
          <w:sz w:val="24"/>
          <w:szCs w:val="24"/>
          <w:lang w:val="es"/>
        </w:rPr>
        <w:t>.  83 a 92). En esa oportunidad consideró que la actora:</w:t>
      </w:r>
      <w:r w:rsidRPr="00CD36DB">
        <w:rPr>
          <w:rFonts w:ascii="Times New Roman" w:hAnsi="Times New Roman" w:cs="Times New Roman"/>
          <w:i/>
          <w:sz w:val="24"/>
          <w:szCs w:val="24"/>
          <w:lang w:val="es"/>
        </w:rPr>
        <w:t xml:space="preserve"> «realiza su </w:t>
      </w:r>
      <w:r w:rsidR="001302B1" w:rsidRPr="00CD36DB">
        <w:rPr>
          <w:rFonts w:ascii="Times New Roman" w:hAnsi="Times New Roman" w:cs="Times New Roman"/>
          <w:i/>
          <w:sz w:val="24"/>
          <w:szCs w:val="24"/>
          <w:lang w:val="es"/>
        </w:rPr>
        <w:t>actividad</w:t>
      </w:r>
      <w:r w:rsidR="001302B1" w:rsidRPr="00CD36DB">
        <w:rPr>
          <w:rFonts w:ascii="Times New Roman" w:hAnsi="Times New Roman" w:cs="Times New Roman"/>
          <w:sz w:val="24"/>
          <w:szCs w:val="24"/>
          <w:lang w:val="es"/>
        </w:rPr>
        <w:t xml:space="preserve"> </w:t>
      </w:r>
      <w:r w:rsidR="001302B1" w:rsidRPr="00CD36DB">
        <w:rPr>
          <w:rFonts w:ascii="Times New Roman" w:hAnsi="Times New Roman" w:cs="Times New Roman"/>
          <w:i/>
          <w:sz w:val="24"/>
          <w:szCs w:val="24"/>
          <w:lang w:val="es"/>
        </w:rPr>
        <w:t>comercial</w:t>
      </w:r>
      <w:r w:rsidRPr="00CD36DB">
        <w:rPr>
          <w:rFonts w:ascii="Times New Roman" w:hAnsi="Times New Roman" w:cs="Times New Roman"/>
          <w:i/>
          <w:sz w:val="24"/>
          <w:szCs w:val="24"/>
          <w:lang w:val="es"/>
        </w:rPr>
        <w:t xml:space="preserve"> en el Distrito Capital, máxime cuando …</w:t>
      </w:r>
      <w:r w:rsidRPr="00CD36DB">
        <w:rPr>
          <w:rFonts w:ascii="Times New Roman" w:hAnsi="Times New Roman" w:cs="Times New Roman"/>
          <w:sz w:val="24"/>
          <w:szCs w:val="24"/>
          <w:lang w:val="es"/>
        </w:rPr>
        <w:t xml:space="preserve"> </w:t>
      </w:r>
      <w:r w:rsidRPr="00CD36DB">
        <w:rPr>
          <w:rFonts w:ascii="Times New Roman" w:hAnsi="Times New Roman" w:cs="Times New Roman"/>
          <w:i/>
          <w:sz w:val="24"/>
          <w:szCs w:val="24"/>
          <w:lang w:val="es"/>
        </w:rPr>
        <w:t xml:space="preserve"> se sirve como indicó el concepto jurídico referido, de la totalidad de </w:t>
      </w:r>
      <w:r w:rsidR="001302B1" w:rsidRPr="00CD36DB">
        <w:rPr>
          <w:rFonts w:ascii="Times New Roman" w:hAnsi="Times New Roman" w:cs="Times New Roman"/>
          <w:i/>
          <w:sz w:val="24"/>
          <w:szCs w:val="24"/>
          <w:lang w:val="es"/>
        </w:rPr>
        <w:t xml:space="preserve">la </w:t>
      </w:r>
      <w:r w:rsidR="001302B1" w:rsidRPr="00CD36DB">
        <w:rPr>
          <w:rFonts w:ascii="Times New Roman" w:hAnsi="Times New Roman" w:cs="Times New Roman"/>
          <w:sz w:val="24"/>
          <w:szCs w:val="24"/>
          <w:lang w:val="es"/>
        </w:rPr>
        <w:t>infraestructura</w:t>
      </w:r>
      <w:r w:rsidRPr="00CD36DB">
        <w:rPr>
          <w:rFonts w:ascii="Times New Roman" w:hAnsi="Times New Roman" w:cs="Times New Roman"/>
          <w:i/>
          <w:sz w:val="24"/>
          <w:szCs w:val="24"/>
          <w:lang w:val="es"/>
        </w:rPr>
        <w:t>, sus servicios públicos como son</w:t>
      </w:r>
    </w:p>
    <w:p w14:paraId="5B844C00" w14:textId="77777777" w:rsidR="00463CE2" w:rsidRPr="00CD36DB" w:rsidRDefault="00463CE2">
      <w:pPr>
        <w:jc w:val="both"/>
        <w:rPr>
          <w:rFonts w:ascii="Times New Roman" w:eastAsia="Arial" w:hAnsi="Times New Roman" w:cs="Times New Roman"/>
          <w:sz w:val="24"/>
          <w:szCs w:val="24"/>
        </w:rPr>
        <w:sectPr w:rsidR="00463CE2" w:rsidRPr="00CD36DB" w:rsidSect="00CD36DB">
          <w:pgSz w:w="12240" w:h="15840" w:code="1"/>
          <w:pgMar w:top="1134" w:right="1134" w:bottom="1134" w:left="1418" w:header="720" w:footer="720" w:gutter="0"/>
          <w:cols w:space="720"/>
          <w:docGrid w:linePitch="299"/>
        </w:sectPr>
      </w:pPr>
    </w:p>
    <w:p w14:paraId="7D648BDD" w14:textId="77777777" w:rsidR="00463CE2" w:rsidRPr="00CD36DB" w:rsidRDefault="00463CE2">
      <w:pPr>
        <w:rPr>
          <w:rFonts w:ascii="Times New Roman" w:eastAsia="Arial" w:hAnsi="Times New Roman" w:cs="Times New Roman"/>
          <w:i/>
          <w:sz w:val="24"/>
          <w:szCs w:val="24"/>
        </w:rPr>
      </w:pPr>
    </w:p>
    <w:p w14:paraId="1556A4C2" w14:textId="77777777" w:rsidR="00463CE2" w:rsidRPr="00CD36DB" w:rsidRDefault="00463CE2">
      <w:pPr>
        <w:rPr>
          <w:rFonts w:ascii="Times New Roman" w:eastAsia="Arial" w:hAnsi="Times New Roman" w:cs="Times New Roman"/>
          <w:i/>
          <w:sz w:val="24"/>
          <w:szCs w:val="24"/>
        </w:rPr>
      </w:pPr>
    </w:p>
    <w:p w14:paraId="37FB698A" w14:textId="77777777" w:rsidR="00463CE2" w:rsidRPr="00CD36DB" w:rsidRDefault="00463CE2">
      <w:pPr>
        <w:spacing w:before="7"/>
        <w:rPr>
          <w:rFonts w:ascii="Times New Roman" w:eastAsia="Arial" w:hAnsi="Times New Roman" w:cs="Times New Roman"/>
          <w:i/>
          <w:sz w:val="24"/>
          <w:szCs w:val="24"/>
        </w:rPr>
      </w:pPr>
    </w:p>
    <w:p w14:paraId="430C9C6A" w14:textId="35229EDC" w:rsidR="00463CE2" w:rsidRPr="00CD36DB" w:rsidRDefault="00245737">
      <w:pPr>
        <w:spacing w:before="69"/>
        <w:ind w:left="548" w:right="122"/>
        <w:jc w:val="both"/>
        <w:rPr>
          <w:rFonts w:ascii="Times New Roman" w:eastAsia="Arial" w:hAnsi="Times New Roman" w:cs="Times New Roman"/>
          <w:sz w:val="24"/>
          <w:szCs w:val="24"/>
        </w:rPr>
      </w:pPr>
      <w:r w:rsidRPr="00CD36DB">
        <w:rPr>
          <w:rFonts w:ascii="Times New Roman" w:hAnsi="Times New Roman" w:cs="Times New Roman"/>
          <w:i/>
          <w:sz w:val="24"/>
          <w:szCs w:val="24"/>
          <w:lang w:val="es"/>
        </w:rPr>
        <w:t>el teléfono, las vías de acceso entre otros, la demanda de sus</w:t>
      </w:r>
      <w:r w:rsidRPr="00CD36DB">
        <w:rPr>
          <w:rFonts w:ascii="Times New Roman" w:hAnsi="Times New Roman" w:cs="Times New Roman"/>
          <w:sz w:val="24"/>
          <w:szCs w:val="24"/>
          <w:lang w:val="es"/>
        </w:rPr>
        <w:t xml:space="preserve"> </w:t>
      </w:r>
      <w:r w:rsidRPr="00CD36DB">
        <w:rPr>
          <w:rFonts w:ascii="Times New Roman" w:hAnsi="Times New Roman" w:cs="Times New Roman"/>
          <w:i/>
          <w:sz w:val="24"/>
          <w:szCs w:val="24"/>
          <w:lang w:val="es"/>
        </w:rPr>
        <w:t>clientes, las instalaciones, el equipamiento urbano del Distrito Capital y de todos los demás servicios complementarios que hacen que sus clientes, personas jurídicas y naturales, utilicen y se provean de los bienes y servicios que ofrece</w:t>
      </w:r>
      <w:r w:rsidRPr="00CD36DB">
        <w:rPr>
          <w:rFonts w:ascii="Times New Roman" w:hAnsi="Times New Roman" w:cs="Times New Roman"/>
          <w:sz w:val="24"/>
          <w:szCs w:val="24"/>
          <w:lang w:val="es"/>
        </w:rPr>
        <w:t xml:space="preserve"> </w:t>
      </w:r>
      <w:r w:rsidRPr="00CD36DB">
        <w:rPr>
          <w:rFonts w:ascii="Times New Roman" w:hAnsi="Times New Roman" w:cs="Times New Roman"/>
          <w:i/>
          <w:sz w:val="24"/>
          <w:szCs w:val="24"/>
          <w:lang w:val="es"/>
        </w:rPr>
        <w:t>la compañía hoy recurrente cuyos productos, sin lugar a dudas,</w:t>
      </w:r>
      <w:r w:rsidRPr="00CD36DB">
        <w:rPr>
          <w:rFonts w:ascii="Times New Roman" w:hAnsi="Times New Roman" w:cs="Times New Roman"/>
          <w:sz w:val="24"/>
          <w:szCs w:val="24"/>
          <w:lang w:val="es"/>
        </w:rPr>
        <w:t xml:space="preserve"> </w:t>
      </w:r>
      <w:r w:rsidRPr="00CD36DB">
        <w:rPr>
          <w:rFonts w:ascii="Times New Roman" w:hAnsi="Times New Roman" w:cs="Times New Roman"/>
          <w:i/>
          <w:sz w:val="24"/>
          <w:szCs w:val="24"/>
          <w:lang w:val="es"/>
        </w:rPr>
        <w:t>tienen como destino final la ciudad de Bogotá</w:t>
      </w:r>
      <w:r w:rsidRPr="00CD36DB">
        <w:rPr>
          <w:rFonts w:ascii="Times New Roman" w:hAnsi="Times New Roman" w:cs="Times New Roman"/>
          <w:sz w:val="24"/>
          <w:szCs w:val="24"/>
          <w:lang w:val="es"/>
        </w:rPr>
        <w:t>».</w:t>
      </w:r>
    </w:p>
    <w:p w14:paraId="55D95AB5" w14:textId="77777777" w:rsidR="00463CE2" w:rsidRPr="00CD36DB" w:rsidRDefault="00463CE2">
      <w:pPr>
        <w:rPr>
          <w:rFonts w:ascii="Times New Roman" w:eastAsia="Arial" w:hAnsi="Times New Roman" w:cs="Times New Roman"/>
          <w:sz w:val="24"/>
          <w:szCs w:val="24"/>
        </w:rPr>
      </w:pPr>
    </w:p>
    <w:p w14:paraId="0E79C78B" w14:textId="77341593" w:rsidR="00463CE2" w:rsidRPr="00CD36DB" w:rsidRDefault="00245737">
      <w:pPr>
        <w:pStyle w:val="Prrafodelista"/>
        <w:numPr>
          <w:ilvl w:val="0"/>
          <w:numId w:val="3"/>
        </w:numPr>
        <w:tabs>
          <w:tab w:val="left" w:pos="885"/>
        </w:tabs>
        <w:ind w:right="120" w:firstLine="0"/>
        <w:jc w:val="both"/>
        <w:rPr>
          <w:rFonts w:ascii="Times New Roman" w:eastAsia="Arial" w:hAnsi="Times New Roman" w:cs="Times New Roman"/>
          <w:sz w:val="24"/>
          <w:szCs w:val="24"/>
        </w:rPr>
      </w:pPr>
      <w:r w:rsidRPr="00CD36DB">
        <w:rPr>
          <w:rFonts w:ascii="Times New Roman" w:hAnsi="Times New Roman" w:cs="Times New Roman"/>
          <w:sz w:val="24"/>
          <w:szCs w:val="24"/>
          <w:lang w:val="es"/>
        </w:rPr>
        <w:t>Para solucionar el problema jurídico, la Sala parte de reiterar que, de acuerdo con los precedentes de la Sección, en el ámbito del ICA la actividad comercial se entiende realizada en el lugar donde se pactan los elementos esenciales del contrato y no en la jurisdicción de donde provienen los ingresos que se pretende gravar.  En el plenario consta que, por los procedimientos comerciales de la actora, la determinación de los productos a enajenar y del precio de estos tiene lugar en el municipio de Cota, que es donde se encuentran los sistemas electrónicos y telefónicos con los cuales se reciben los pedidos, se analiza el comportamiento del cliente, se autoriza la venta, se genera la factura y se gestiona la distribución.  Y está demostrado que los ingresos percibidos por la demandante de los clientes ubicados en Bogotá fueron incluidos en la declaración del impuesto presentada por la demandante en Cota.</w:t>
      </w:r>
    </w:p>
    <w:p w14:paraId="70E8E7A6" w14:textId="77777777" w:rsidR="00463CE2" w:rsidRPr="00CD36DB" w:rsidRDefault="00463CE2">
      <w:pPr>
        <w:rPr>
          <w:rFonts w:ascii="Times New Roman" w:eastAsia="Arial" w:hAnsi="Times New Roman" w:cs="Times New Roman"/>
          <w:sz w:val="24"/>
          <w:szCs w:val="24"/>
        </w:rPr>
      </w:pPr>
    </w:p>
    <w:p w14:paraId="320BC870" w14:textId="5C873F82" w:rsidR="00463CE2" w:rsidRPr="00CD36DB" w:rsidRDefault="00245737">
      <w:pPr>
        <w:pStyle w:val="Textoindependiente"/>
        <w:ind w:right="119"/>
        <w:jc w:val="both"/>
        <w:rPr>
          <w:rFonts w:ascii="Times New Roman" w:hAnsi="Times New Roman" w:cs="Times New Roman"/>
        </w:rPr>
      </w:pPr>
      <w:r w:rsidRPr="00CD36DB">
        <w:rPr>
          <w:rFonts w:ascii="Times New Roman" w:hAnsi="Times New Roman" w:cs="Times New Roman"/>
          <w:lang w:val="es"/>
        </w:rPr>
        <w:t>En consecuencia, bajo los criterios de decisión identificados, la Sala juzga que la actora no realizó actividades comerciales gravadas en la jurisdicción de Bogotá.  De modo que, según las prescripciones de los artículos 26 y 28 del Decreto 807 de 1993, no se encontraba sujeta al deber formal de presentar declaraciones del ICA en dicha ciudad.</w:t>
      </w:r>
    </w:p>
    <w:p w14:paraId="0915315B" w14:textId="77777777" w:rsidR="00463CE2" w:rsidRPr="00CD36DB" w:rsidRDefault="00463CE2">
      <w:pPr>
        <w:rPr>
          <w:rFonts w:ascii="Times New Roman" w:eastAsia="Arial" w:hAnsi="Times New Roman" w:cs="Times New Roman"/>
          <w:sz w:val="24"/>
          <w:szCs w:val="24"/>
        </w:rPr>
      </w:pPr>
    </w:p>
    <w:p w14:paraId="0D131A2C" w14:textId="4B9C422E" w:rsidR="00463CE2" w:rsidRPr="00CD36DB" w:rsidRDefault="00245737">
      <w:pPr>
        <w:pStyle w:val="Textoindependiente"/>
        <w:ind w:right="122"/>
        <w:jc w:val="both"/>
        <w:rPr>
          <w:rFonts w:ascii="Times New Roman" w:hAnsi="Times New Roman" w:cs="Times New Roman"/>
        </w:rPr>
      </w:pPr>
      <w:r w:rsidRPr="00CD36DB">
        <w:rPr>
          <w:rFonts w:ascii="Times New Roman" w:hAnsi="Times New Roman" w:cs="Times New Roman"/>
          <w:lang w:val="es"/>
        </w:rPr>
        <w:t>Para la Sala queda probada la ilegalidad de los actos demandados, por medio de los cuales se sancionó a la actora por no declarar el ICA y se aforó el impuesto por los bimestres 1.º a 6.º de los años 2008, 2009, 2010 y 2011.</w:t>
      </w:r>
    </w:p>
    <w:p w14:paraId="30DFC09C" w14:textId="77777777" w:rsidR="00463CE2" w:rsidRPr="00CD36DB" w:rsidRDefault="00463CE2">
      <w:pPr>
        <w:rPr>
          <w:rFonts w:ascii="Times New Roman" w:eastAsia="Arial" w:hAnsi="Times New Roman" w:cs="Times New Roman"/>
          <w:sz w:val="24"/>
          <w:szCs w:val="24"/>
        </w:rPr>
      </w:pPr>
    </w:p>
    <w:p w14:paraId="12ECE41C" w14:textId="44A3C463" w:rsidR="00463CE2" w:rsidRPr="00CD36DB" w:rsidRDefault="00245737">
      <w:pPr>
        <w:pStyle w:val="Textoindependiente"/>
        <w:ind w:right="119"/>
        <w:jc w:val="both"/>
        <w:rPr>
          <w:rFonts w:ascii="Times New Roman" w:hAnsi="Times New Roman" w:cs="Times New Roman"/>
        </w:rPr>
      </w:pPr>
      <w:r w:rsidRPr="00CD36DB">
        <w:rPr>
          <w:rFonts w:ascii="Times New Roman" w:hAnsi="Times New Roman" w:cs="Times New Roman"/>
          <w:lang w:val="es"/>
        </w:rPr>
        <w:t xml:space="preserve">No prospera el recurso de apelación interpuesto, corolario de lo cual la Sala confirmará la sentencia del </w:t>
      </w:r>
      <w:r w:rsidRPr="00CD36DB">
        <w:rPr>
          <w:rFonts w:ascii="Times New Roman" w:hAnsi="Times New Roman" w:cs="Times New Roman"/>
          <w:i/>
          <w:lang w:val="es"/>
        </w:rPr>
        <w:t>a quo</w:t>
      </w:r>
      <w:r w:rsidRPr="00CD36DB">
        <w:rPr>
          <w:rFonts w:ascii="Times New Roman" w:hAnsi="Times New Roman" w:cs="Times New Roman"/>
          <w:lang w:val="es"/>
        </w:rPr>
        <w:t>.</w:t>
      </w:r>
    </w:p>
    <w:p w14:paraId="24F7CBEF" w14:textId="77777777" w:rsidR="00463CE2" w:rsidRPr="00CD36DB" w:rsidRDefault="00463CE2">
      <w:pPr>
        <w:rPr>
          <w:rFonts w:ascii="Times New Roman" w:eastAsia="Arial" w:hAnsi="Times New Roman" w:cs="Times New Roman"/>
          <w:sz w:val="24"/>
          <w:szCs w:val="24"/>
        </w:rPr>
      </w:pPr>
    </w:p>
    <w:p w14:paraId="5157476C" w14:textId="56DE7E64" w:rsidR="00463CE2" w:rsidRPr="00CD36DB" w:rsidRDefault="00245737">
      <w:pPr>
        <w:pStyle w:val="Prrafodelista"/>
        <w:numPr>
          <w:ilvl w:val="0"/>
          <w:numId w:val="3"/>
        </w:numPr>
        <w:tabs>
          <w:tab w:val="left" w:pos="842"/>
        </w:tabs>
        <w:ind w:right="117" w:firstLine="0"/>
        <w:jc w:val="both"/>
        <w:rPr>
          <w:rFonts w:ascii="Times New Roman" w:eastAsia="Arial" w:hAnsi="Times New Roman" w:cs="Times New Roman"/>
          <w:sz w:val="24"/>
          <w:szCs w:val="24"/>
        </w:rPr>
      </w:pPr>
      <w:r w:rsidRPr="00CD36DB">
        <w:rPr>
          <w:rFonts w:ascii="Times New Roman" w:hAnsi="Times New Roman" w:cs="Times New Roman"/>
          <w:sz w:val="24"/>
          <w:szCs w:val="24"/>
          <w:lang w:val="es"/>
        </w:rPr>
        <w:t>Teniendo en cuenta que el ordinal 8.º del artículo 365 del Código General del Proceso dispone que «</w:t>
      </w:r>
      <w:r w:rsidRPr="00CD36DB">
        <w:rPr>
          <w:rFonts w:ascii="Times New Roman" w:hAnsi="Times New Roman" w:cs="Times New Roman"/>
          <w:i/>
          <w:sz w:val="24"/>
          <w:szCs w:val="24"/>
          <w:lang w:val="es"/>
        </w:rPr>
        <w:t>habrá lugar a costas cuando en el expediente aparezca que se causaron y en la medida de</w:t>
      </w:r>
      <w:r w:rsidRPr="00CD36DB">
        <w:rPr>
          <w:rFonts w:ascii="Times New Roman" w:hAnsi="Times New Roman" w:cs="Times New Roman"/>
          <w:i/>
          <w:spacing w:val="3"/>
          <w:sz w:val="24"/>
          <w:szCs w:val="24"/>
          <w:lang w:val="es"/>
        </w:rPr>
        <w:t xml:space="preserve"> su</w:t>
      </w:r>
      <w:r w:rsidRPr="00CD36DB">
        <w:rPr>
          <w:rFonts w:ascii="Times New Roman" w:hAnsi="Times New Roman" w:cs="Times New Roman"/>
          <w:i/>
          <w:sz w:val="24"/>
          <w:szCs w:val="24"/>
          <w:lang w:val="es"/>
        </w:rPr>
        <w:t xml:space="preserve"> comprobación</w:t>
      </w:r>
      <w:r w:rsidRPr="00CD36DB">
        <w:rPr>
          <w:rFonts w:ascii="Times New Roman" w:hAnsi="Times New Roman" w:cs="Times New Roman"/>
          <w:sz w:val="24"/>
          <w:szCs w:val="24"/>
          <w:lang w:val="es"/>
        </w:rPr>
        <w:t>», la Sala se abstendrá de condenar en costas en esta instancia, pues en el plenario no existe prueba de su causación.</w:t>
      </w:r>
    </w:p>
    <w:p w14:paraId="1C5BCB89" w14:textId="77777777" w:rsidR="00463CE2" w:rsidRPr="00CD36DB" w:rsidRDefault="00463CE2">
      <w:pPr>
        <w:rPr>
          <w:rFonts w:ascii="Times New Roman" w:eastAsia="Arial" w:hAnsi="Times New Roman" w:cs="Times New Roman"/>
          <w:sz w:val="24"/>
          <w:szCs w:val="24"/>
        </w:rPr>
      </w:pPr>
    </w:p>
    <w:p w14:paraId="089BFD52" w14:textId="1068A6C3" w:rsidR="00463CE2" w:rsidRPr="00CD36DB" w:rsidRDefault="00245737">
      <w:pPr>
        <w:pStyle w:val="Textoindependiente"/>
        <w:ind w:left="562" w:right="118"/>
        <w:jc w:val="both"/>
        <w:rPr>
          <w:rFonts w:ascii="Times New Roman" w:hAnsi="Times New Roman" w:cs="Times New Roman"/>
        </w:rPr>
      </w:pPr>
      <w:r w:rsidRPr="00CD36DB">
        <w:rPr>
          <w:rFonts w:ascii="Times New Roman" w:hAnsi="Times New Roman" w:cs="Times New Roman"/>
          <w:lang w:val="es"/>
        </w:rPr>
        <w:t>En mérito de lo expuesto, el Consejo de Estado, Sala de lo Contencioso Administrativo, Sección Cuarta, administrando justicia en nombre de la República de Colombia y por autoridad de la ley.</w:t>
      </w:r>
    </w:p>
    <w:p w14:paraId="6351EF41" w14:textId="77777777" w:rsidR="00463CE2" w:rsidRPr="00CD36DB" w:rsidRDefault="00463CE2">
      <w:pPr>
        <w:jc w:val="both"/>
        <w:rPr>
          <w:rFonts w:ascii="Times New Roman" w:hAnsi="Times New Roman" w:cs="Times New Roman"/>
          <w:sz w:val="24"/>
          <w:szCs w:val="24"/>
        </w:rPr>
        <w:sectPr w:rsidR="00463CE2" w:rsidRPr="00CD36DB" w:rsidSect="00CD36DB">
          <w:pgSz w:w="12240" w:h="15840" w:code="1"/>
          <w:pgMar w:top="1134" w:right="1134" w:bottom="1134" w:left="1418" w:header="720" w:footer="720" w:gutter="0"/>
          <w:cols w:space="720"/>
          <w:docGrid w:linePitch="299"/>
        </w:sectPr>
      </w:pPr>
    </w:p>
    <w:p w14:paraId="0FBB9C7F" w14:textId="77777777" w:rsidR="00463CE2" w:rsidRPr="00CD36DB" w:rsidRDefault="00463CE2">
      <w:pPr>
        <w:rPr>
          <w:rFonts w:ascii="Times New Roman" w:eastAsia="Arial" w:hAnsi="Times New Roman" w:cs="Times New Roman"/>
          <w:sz w:val="24"/>
          <w:szCs w:val="24"/>
        </w:rPr>
      </w:pPr>
    </w:p>
    <w:p w14:paraId="461A5CA3" w14:textId="77777777" w:rsidR="001302B1" w:rsidRPr="00CD36DB" w:rsidRDefault="001302B1" w:rsidP="001302B1">
      <w:pPr>
        <w:pStyle w:val="Ttulo1"/>
        <w:spacing w:before="214"/>
        <w:ind w:left="0" w:right="159"/>
        <w:jc w:val="center"/>
        <w:rPr>
          <w:rFonts w:ascii="Times New Roman" w:hAnsi="Times New Roman" w:cs="Times New Roman"/>
          <w:b w:val="0"/>
          <w:bCs w:val="0"/>
        </w:rPr>
      </w:pPr>
      <w:r w:rsidRPr="00CD36DB">
        <w:rPr>
          <w:rFonts w:ascii="Times New Roman" w:hAnsi="Times New Roman" w:cs="Times New Roman"/>
          <w:lang w:val="es"/>
        </w:rPr>
        <w:t>FALLA:</w:t>
      </w:r>
    </w:p>
    <w:p w14:paraId="2B6F6EBB" w14:textId="77777777" w:rsidR="00463CE2" w:rsidRPr="00CD36DB" w:rsidRDefault="00463CE2">
      <w:pPr>
        <w:rPr>
          <w:rFonts w:ascii="Times New Roman" w:eastAsia="Arial" w:hAnsi="Times New Roman" w:cs="Times New Roman"/>
          <w:sz w:val="24"/>
          <w:szCs w:val="24"/>
        </w:rPr>
      </w:pPr>
    </w:p>
    <w:p w14:paraId="6CF7D76B" w14:textId="77777777" w:rsidR="00463CE2" w:rsidRPr="00CD36DB" w:rsidRDefault="00463CE2">
      <w:pPr>
        <w:rPr>
          <w:rFonts w:ascii="Times New Roman" w:eastAsia="Arial" w:hAnsi="Times New Roman" w:cs="Times New Roman"/>
          <w:sz w:val="24"/>
          <w:szCs w:val="24"/>
        </w:rPr>
      </w:pPr>
    </w:p>
    <w:p w14:paraId="3405ACEE" w14:textId="77777777" w:rsidR="00463CE2" w:rsidRPr="00CD36DB" w:rsidRDefault="00463CE2" w:rsidP="001302B1">
      <w:pPr>
        <w:ind w:right="113"/>
        <w:jc w:val="both"/>
        <w:rPr>
          <w:rFonts w:ascii="Times New Roman" w:eastAsia="Arial" w:hAnsi="Times New Roman" w:cs="Times New Roman"/>
          <w:b/>
          <w:bCs/>
          <w:sz w:val="24"/>
          <w:szCs w:val="24"/>
        </w:rPr>
      </w:pPr>
    </w:p>
    <w:p w14:paraId="58C7FD00" w14:textId="77777777" w:rsidR="00463CE2" w:rsidRPr="00CD36DB" w:rsidRDefault="00463CE2" w:rsidP="001302B1">
      <w:pPr>
        <w:ind w:right="113"/>
        <w:rPr>
          <w:rFonts w:ascii="Times New Roman" w:eastAsia="Arial" w:hAnsi="Times New Roman" w:cs="Times New Roman"/>
          <w:b/>
          <w:bCs/>
          <w:sz w:val="24"/>
          <w:szCs w:val="24"/>
        </w:rPr>
      </w:pPr>
    </w:p>
    <w:p w14:paraId="0B41E157" w14:textId="77777777" w:rsidR="00463CE2" w:rsidRPr="001302B1" w:rsidRDefault="00245737" w:rsidP="001302B1">
      <w:pPr>
        <w:pStyle w:val="Prrafodelista"/>
        <w:numPr>
          <w:ilvl w:val="0"/>
          <w:numId w:val="4"/>
        </w:numPr>
        <w:tabs>
          <w:tab w:val="left" w:pos="1295"/>
        </w:tabs>
        <w:ind w:right="113"/>
        <w:rPr>
          <w:rFonts w:ascii="Times New Roman" w:eastAsia="Arial" w:hAnsi="Times New Roman" w:cs="Times New Roman"/>
          <w:sz w:val="24"/>
          <w:szCs w:val="24"/>
        </w:rPr>
      </w:pPr>
      <w:r w:rsidRPr="001302B1">
        <w:rPr>
          <w:rFonts w:ascii="Times New Roman" w:hAnsi="Times New Roman" w:cs="Times New Roman"/>
          <w:b/>
          <w:sz w:val="24"/>
          <w:szCs w:val="24"/>
          <w:lang w:val="es"/>
        </w:rPr>
        <w:t>Confirmar</w:t>
      </w:r>
      <w:r w:rsidRPr="001302B1">
        <w:rPr>
          <w:rFonts w:ascii="Times New Roman" w:hAnsi="Times New Roman" w:cs="Times New Roman"/>
          <w:sz w:val="24"/>
          <w:szCs w:val="24"/>
          <w:lang w:val="es"/>
        </w:rPr>
        <w:t xml:space="preserve"> la sentencia apelada.</w:t>
      </w:r>
    </w:p>
    <w:p w14:paraId="796E6F23" w14:textId="77777777" w:rsidR="00463CE2" w:rsidRPr="00CD36DB" w:rsidRDefault="00463CE2" w:rsidP="001302B1">
      <w:pPr>
        <w:ind w:right="113"/>
        <w:rPr>
          <w:rFonts w:ascii="Times New Roman" w:eastAsia="Arial" w:hAnsi="Times New Roman" w:cs="Times New Roman"/>
          <w:sz w:val="24"/>
          <w:szCs w:val="24"/>
        </w:rPr>
      </w:pPr>
    </w:p>
    <w:p w14:paraId="1CAA9C2F" w14:textId="77777777" w:rsidR="00463CE2" w:rsidRPr="00CD36DB" w:rsidRDefault="00463CE2" w:rsidP="001302B1">
      <w:pPr>
        <w:ind w:right="113"/>
        <w:rPr>
          <w:rFonts w:ascii="Times New Roman" w:eastAsia="Arial" w:hAnsi="Times New Roman" w:cs="Times New Roman"/>
          <w:sz w:val="24"/>
          <w:szCs w:val="24"/>
        </w:rPr>
      </w:pPr>
    </w:p>
    <w:p w14:paraId="58368453" w14:textId="77777777" w:rsidR="00463CE2" w:rsidRPr="001302B1" w:rsidRDefault="00245737" w:rsidP="001302B1">
      <w:pPr>
        <w:pStyle w:val="Prrafodelista"/>
        <w:numPr>
          <w:ilvl w:val="0"/>
          <w:numId w:val="4"/>
        </w:numPr>
        <w:tabs>
          <w:tab w:val="left" w:pos="1295"/>
        </w:tabs>
        <w:ind w:right="113"/>
        <w:rPr>
          <w:rFonts w:ascii="Times New Roman" w:eastAsia="Arial" w:hAnsi="Times New Roman" w:cs="Times New Roman"/>
          <w:sz w:val="24"/>
          <w:szCs w:val="24"/>
        </w:rPr>
      </w:pPr>
      <w:r w:rsidRPr="001302B1">
        <w:rPr>
          <w:rFonts w:ascii="Times New Roman" w:hAnsi="Times New Roman" w:cs="Times New Roman"/>
          <w:sz w:val="24"/>
          <w:szCs w:val="24"/>
          <w:lang w:val="es"/>
        </w:rPr>
        <w:t>Sin condena en costas en esta instancia.</w:t>
      </w:r>
    </w:p>
    <w:p w14:paraId="3E7F4868" w14:textId="77777777" w:rsidR="00463CE2" w:rsidRPr="00CD36DB" w:rsidRDefault="00463CE2" w:rsidP="001302B1">
      <w:pPr>
        <w:ind w:right="113"/>
        <w:rPr>
          <w:rFonts w:ascii="Times New Roman" w:eastAsia="Arial" w:hAnsi="Times New Roman" w:cs="Times New Roman"/>
          <w:sz w:val="24"/>
          <w:szCs w:val="24"/>
        </w:rPr>
      </w:pPr>
    </w:p>
    <w:p w14:paraId="340998F8" w14:textId="77777777" w:rsidR="00463CE2" w:rsidRPr="00CD36DB" w:rsidRDefault="00463CE2" w:rsidP="001302B1">
      <w:pPr>
        <w:ind w:right="113"/>
        <w:rPr>
          <w:rFonts w:ascii="Times New Roman" w:eastAsia="Arial" w:hAnsi="Times New Roman" w:cs="Times New Roman"/>
          <w:sz w:val="24"/>
          <w:szCs w:val="24"/>
        </w:rPr>
      </w:pPr>
    </w:p>
    <w:p w14:paraId="6F3E3E1A" w14:textId="77777777" w:rsidR="00463CE2" w:rsidRPr="00CD36DB" w:rsidRDefault="00245737" w:rsidP="001302B1">
      <w:pPr>
        <w:pStyle w:val="Textoindependiente"/>
        <w:ind w:left="0" w:right="113"/>
        <w:rPr>
          <w:rFonts w:ascii="Times New Roman" w:hAnsi="Times New Roman" w:cs="Times New Roman"/>
        </w:rPr>
      </w:pPr>
      <w:r w:rsidRPr="00CD36DB">
        <w:rPr>
          <w:rFonts w:ascii="Times New Roman" w:hAnsi="Times New Roman" w:cs="Times New Roman"/>
          <w:lang w:val="es"/>
        </w:rPr>
        <w:t>Cópiese, notifíquese, comuníquese.  Devuélvase al tribunal de origen.  Cúmplase.</w:t>
      </w:r>
    </w:p>
    <w:p w14:paraId="41E16DBF" w14:textId="77777777" w:rsidR="00463CE2" w:rsidRPr="00CD36DB" w:rsidRDefault="00463CE2" w:rsidP="001302B1">
      <w:pPr>
        <w:ind w:right="113"/>
        <w:rPr>
          <w:rFonts w:ascii="Times New Roman" w:eastAsia="Arial" w:hAnsi="Times New Roman" w:cs="Times New Roman"/>
          <w:sz w:val="24"/>
          <w:szCs w:val="24"/>
        </w:rPr>
      </w:pPr>
    </w:p>
    <w:p w14:paraId="003C0D6F" w14:textId="06D02608" w:rsidR="00463CE2" w:rsidRDefault="00245737" w:rsidP="001302B1">
      <w:pPr>
        <w:pStyle w:val="Textoindependiente"/>
        <w:ind w:left="0" w:right="113"/>
        <w:rPr>
          <w:rFonts w:ascii="Times New Roman" w:hAnsi="Times New Roman" w:cs="Times New Roman"/>
          <w:lang w:val="es"/>
        </w:rPr>
      </w:pPr>
      <w:r w:rsidRPr="00CD36DB">
        <w:rPr>
          <w:rFonts w:ascii="Times New Roman" w:hAnsi="Times New Roman" w:cs="Times New Roman"/>
          <w:lang w:val="es"/>
        </w:rPr>
        <w:t>La anterior providencia se estudió y aprobó en la sesión de la fecha.</w:t>
      </w:r>
    </w:p>
    <w:p w14:paraId="7A4FC29D" w14:textId="60EA0CB3" w:rsidR="001302B1" w:rsidRDefault="001302B1" w:rsidP="001302B1">
      <w:pPr>
        <w:pStyle w:val="Textoindependiente"/>
        <w:ind w:left="0" w:right="113"/>
        <w:rPr>
          <w:rFonts w:ascii="Times New Roman" w:hAnsi="Times New Roman" w:cs="Times New Roman"/>
          <w:lang w:val="es"/>
        </w:rPr>
      </w:pPr>
    </w:p>
    <w:p w14:paraId="0DF61F0C" w14:textId="5849C6D0" w:rsidR="001302B1" w:rsidRDefault="001302B1" w:rsidP="001302B1">
      <w:pPr>
        <w:pStyle w:val="Textoindependiente"/>
        <w:ind w:left="0" w:right="113"/>
        <w:rPr>
          <w:rFonts w:ascii="Times New Roman" w:hAnsi="Times New Roman" w:cs="Times New Roman"/>
          <w:lang w:val="es"/>
        </w:rPr>
      </w:pPr>
      <w:r>
        <w:rPr>
          <w:rFonts w:ascii="Times New Roman" w:hAnsi="Times New Roman" w:cs="Times New Roman"/>
          <w:lang w:val="es"/>
        </w:rPr>
        <w:t xml:space="preserve">JULIO ROBERTO PIZA RODRIGUEZ </w:t>
      </w:r>
    </w:p>
    <w:p w14:paraId="6599D8D0" w14:textId="098CCA7C" w:rsidR="001302B1" w:rsidRDefault="001302B1" w:rsidP="001302B1">
      <w:pPr>
        <w:pStyle w:val="Textoindependiente"/>
        <w:ind w:left="0" w:right="113"/>
        <w:rPr>
          <w:rFonts w:ascii="Times New Roman" w:hAnsi="Times New Roman" w:cs="Times New Roman"/>
          <w:lang w:val="es"/>
        </w:rPr>
      </w:pPr>
      <w:r>
        <w:rPr>
          <w:rFonts w:ascii="Times New Roman" w:hAnsi="Times New Roman" w:cs="Times New Roman"/>
          <w:lang w:val="es"/>
        </w:rPr>
        <w:t xml:space="preserve">Presidente de la Sala. </w:t>
      </w:r>
    </w:p>
    <w:p w14:paraId="087BE32B" w14:textId="13C68ED6" w:rsidR="001302B1" w:rsidRDefault="001302B1" w:rsidP="001302B1">
      <w:pPr>
        <w:pStyle w:val="Textoindependiente"/>
        <w:ind w:left="0" w:right="113"/>
        <w:rPr>
          <w:rFonts w:ascii="Times New Roman" w:hAnsi="Times New Roman" w:cs="Times New Roman"/>
          <w:lang w:val="es"/>
        </w:rPr>
      </w:pPr>
    </w:p>
    <w:p w14:paraId="436273A5" w14:textId="77777777" w:rsidR="001302B1" w:rsidRPr="00CD36DB" w:rsidRDefault="001302B1" w:rsidP="001302B1">
      <w:pPr>
        <w:pStyle w:val="Textoindependiente"/>
        <w:ind w:left="0" w:right="113"/>
        <w:rPr>
          <w:rFonts w:ascii="Times New Roman" w:hAnsi="Times New Roman" w:cs="Times New Roman"/>
        </w:rPr>
      </w:pPr>
    </w:p>
    <w:p w14:paraId="1ADC1506" w14:textId="77777777" w:rsidR="00463CE2" w:rsidRPr="00CD36DB" w:rsidRDefault="00463CE2" w:rsidP="001302B1">
      <w:pPr>
        <w:ind w:right="113"/>
        <w:rPr>
          <w:rFonts w:ascii="Times New Roman" w:eastAsia="Arial" w:hAnsi="Times New Roman" w:cs="Times New Roman"/>
          <w:sz w:val="24"/>
          <w:szCs w:val="24"/>
        </w:rPr>
      </w:pPr>
    </w:p>
    <w:p w14:paraId="54D8C5BF" w14:textId="77777777" w:rsidR="00463CE2" w:rsidRPr="00CD36DB" w:rsidRDefault="00463CE2" w:rsidP="001302B1">
      <w:pPr>
        <w:ind w:right="113"/>
        <w:rPr>
          <w:rFonts w:ascii="Times New Roman" w:eastAsia="Arial" w:hAnsi="Times New Roman" w:cs="Times New Roman"/>
          <w:sz w:val="24"/>
          <w:szCs w:val="24"/>
        </w:rPr>
      </w:pPr>
    </w:p>
    <w:p w14:paraId="1B27141E" w14:textId="77777777" w:rsidR="00463CE2" w:rsidRPr="00CD36DB" w:rsidRDefault="00463CE2" w:rsidP="001302B1">
      <w:pPr>
        <w:ind w:right="113"/>
        <w:jc w:val="both"/>
        <w:rPr>
          <w:rFonts w:ascii="Times New Roman" w:eastAsia="Arial" w:hAnsi="Times New Roman" w:cs="Times New Roman"/>
          <w:sz w:val="24"/>
          <w:szCs w:val="24"/>
        </w:rPr>
      </w:pPr>
      <w:bookmarkStart w:id="0" w:name="_GoBack"/>
      <w:bookmarkEnd w:id="0"/>
    </w:p>
    <w:tbl>
      <w:tblPr>
        <w:tblStyle w:val="TableNormal"/>
        <w:tblW w:w="0" w:type="auto"/>
        <w:tblInd w:w="109" w:type="dxa"/>
        <w:tblLayout w:type="fixed"/>
        <w:tblLook w:val="01E0" w:firstRow="1" w:lastRow="1" w:firstColumn="1" w:lastColumn="1" w:noHBand="0" w:noVBand="0"/>
      </w:tblPr>
      <w:tblGrid>
        <w:gridCol w:w="4532"/>
        <w:gridCol w:w="5142"/>
      </w:tblGrid>
      <w:tr w:rsidR="00463CE2" w:rsidRPr="00CD36DB" w14:paraId="3F800AC2" w14:textId="77777777">
        <w:trPr>
          <w:trHeight w:hRule="exact" w:val="1698"/>
        </w:trPr>
        <w:tc>
          <w:tcPr>
            <w:tcW w:w="4532" w:type="dxa"/>
            <w:tcBorders>
              <w:top w:val="nil"/>
              <w:left w:val="nil"/>
              <w:bottom w:val="nil"/>
              <w:right w:val="nil"/>
            </w:tcBorders>
          </w:tcPr>
          <w:tbl>
            <w:tblPr>
              <w:tblStyle w:val="TableNormal"/>
              <w:tblW w:w="9674" w:type="dxa"/>
              <w:tblInd w:w="109" w:type="dxa"/>
              <w:tblLayout w:type="fixed"/>
              <w:tblLook w:val="01E0" w:firstRow="1" w:lastRow="1" w:firstColumn="1" w:lastColumn="1" w:noHBand="0" w:noVBand="0"/>
            </w:tblPr>
            <w:tblGrid>
              <w:gridCol w:w="4532"/>
              <w:gridCol w:w="5142"/>
            </w:tblGrid>
            <w:tr w:rsidR="001302B1" w:rsidRPr="00CD36DB" w14:paraId="52CA1C43" w14:textId="77777777" w:rsidTr="001302B1">
              <w:trPr>
                <w:trHeight w:hRule="exact" w:val="1422"/>
              </w:trPr>
              <w:tc>
                <w:tcPr>
                  <w:tcW w:w="4532" w:type="dxa"/>
                  <w:tcBorders>
                    <w:top w:val="nil"/>
                    <w:left w:val="nil"/>
                    <w:bottom w:val="nil"/>
                    <w:right w:val="nil"/>
                  </w:tcBorders>
                </w:tcPr>
                <w:p w14:paraId="19F8AB56" w14:textId="12597A85" w:rsidR="001302B1" w:rsidRPr="00CD36DB" w:rsidRDefault="001302B1" w:rsidP="001302B1">
                  <w:pPr>
                    <w:pStyle w:val="TableParagraph"/>
                    <w:ind w:right="113"/>
                    <w:jc w:val="both"/>
                    <w:rPr>
                      <w:rFonts w:ascii="Times New Roman" w:eastAsia="Arial" w:hAnsi="Times New Roman" w:cs="Times New Roman"/>
                      <w:sz w:val="24"/>
                      <w:szCs w:val="24"/>
                    </w:rPr>
                  </w:pPr>
                </w:p>
              </w:tc>
              <w:tc>
                <w:tcPr>
                  <w:tcW w:w="5142" w:type="dxa"/>
                  <w:tcBorders>
                    <w:top w:val="nil"/>
                    <w:left w:val="nil"/>
                    <w:bottom w:val="nil"/>
                    <w:right w:val="nil"/>
                  </w:tcBorders>
                </w:tcPr>
                <w:p w14:paraId="73D1CD9E" w14:textId="720058BF" w:rsidR="001302B1" w:rsidRPr="00CD36DB" w:rsidRDefault="001302B1" w:rsidP="001302B1">
                  <w:pPr>
                    <w:pStyle w:val="TableParagraph"/>
                    <w:ind w:right="113"/>
                    <w:jc w:val="both"/>
                    <w:rPr>
                      <w:rFonts w:ascii="Times New Roman" w:eastAsia="Arial" w:hAnsi="Times New Roman" w:cs="Times New Roman"/>
                      <w:sz w:val="24"/>
                      <w:szCs w:val="24"/>
                    </w:rPr>
                  </w:pPr>
                </w:p>
              </w:tc>
            </w:tr>
          </w:tbl>
          <w:p w14:paraId="199CFFFC" w14:textId="6E084C5A" w:rsidR="001302B1" w:rsidRPr="00CD36DB" w:rsidRDefault="001302B1" w:rsidP="001302B1">
            <w:pPr>
              <w:pStyle w:val="TableParagraph"/>
              <w:ind w:right="113"/>
              <w:jc w:val="both"/>
              <w:rPr>
                <w:rFonts w:ascii="Times New Roman" w:eastAsia="Arial" w:hAnsi="Times New Roman" w:cs="Times New Roman"/>
                <w:sz w:val="24"/>
                <w:szCs w:val="24"/>
              </w:rPr>
            </w:pPr>
          </w:p>
        </w:tc>
        <w:tc>
          <w:tcPr>
            <w:tcW w:w="5142" w:type="dxa"/>
            <w:tcBorders>
              <w:top w:val="nil"/>
              <w:left w:val="nil"/>
              <w:bottom w:val="nil"/>
              <w:right w:val="nil"/>
            </w:tcBorders>
          </w:tcPr>
          <w:p w14:paraId="37151980" w14:textId="2EAB058A" w:rsidR="00463CE2" w:rsidRPr="00CD36DB" w:rsidRDefault="00463CE2" w:rsidP="001302B1">
            <w:pPr>
              <w:pStyle w:val="TableParagraph"/>
              <w:ind w:right="113"/>
              <w:jc w:val="both"/>
              <w:rPr>
                <w:rFonts w:ascii="Times New Roman" w:hAnsi="Times New Roman" w:cs="Times New Roman"/>
                <w:b/>
                <w:sz w:val="24"/>
                <w:szCs w:val="24"/>
                <w:lang w:val="es"/>
              </w:rPr>
            </w:pPr>
          </w:p>
        </w:tc>
      </w:tr>
      <w:tr w:rsidR="00463CE2" w:rsidRPr="00CD36DB" w14:paraId="3576B922" w14:textId="77777777">
        <w:trPr>
          <w:trHeight w:hRule="exact" w:val="1422"/>
        </w:trPr>
        <w:tc>
          <w:tcPr>
            <w:tcW w:w="4532" w:type="dxa"/>
            <w:tcBorders>
              <w:top w:val="nil"/>
              <w:left w:val="nil"/>
              <w:bottom w:val="nil"/>
              <w:right w:val="nil"/>
            </w:tcBorders>
          </w:tcPr>
          <w:p w14:paraId="219431C1" w14:textId="368EE057" w:rsidR="00463CE2" w:rsidRPr="00CD36DB" w:rsidRDefault="00463CE2" w:rsidP="001302B1">
            <w:pPr>
              <w:pStyle w:val="TableParagraph"/>
              <w:ind w:right="113"/>
              <w:jc w:val="both"/>
              <w:rPr>
                <w:rFonts w:ascii="Times New Roman" w:eastAsia="Arial" w:hAnsi="Times New Roman" w:cs="Times New Roman"/>
                <w:sz w:val="24"/>
                <w:szCs w:val="24"/>
              </w:rPr>
            </w:pPr>
          </w:p>
        </w:tc>
        <w:tc>
          <w:tcPr>
            <w:tcW w:w="5142" w:type="dxa"/>
            <w:tcBorders>
              <w:top w:val="nil"/>
              <w:left w:val="nil"/>
              <w:bottom w:val="nil"/>
              <w:right w:val="nil"/>
            </w:tcBorders>
          </w:tcPr>
          <w:p w14:paraId="26F58EDF" w14:textId="5E9C8B0A" w:rsidR="00463CE2" w:rsidRPr="00CD36DB" w:rsidRDefault="00463CE2" w:rsidP="001302B1">
            <w:pPr>
              <w:pStyle w:val="TableParagraph"/>
              <w:ind w:right="113"/>
              <w:jc w:val="both"/>
              <w:rPr>
                <w:rFonts w:ascii="Times New Roman" w:eastAsia="Arial" w:hAnsi="Times New Roman" w:cs="Times New Roman"/>
                <w:sz w:val="24"/>
                <w:szCs w:val="24"/>
              </w:rPr>
            </w:pPr>
          </w:p>
        </w:tc>
      </w:tr>
    </w:tbl>
    <w:p w14:paraId="26A92911" w14:textId="72F04B9D" w:rsidR="00704FA4" w:rsidRPr="00CD36DB" w:rsidRDefault="00704FA4" w:rsidP="001302B1">
      <w:pPr>
        <w:ind w:right="113"/>
        <w:jc w:val="both"/>
        <w:rPr>
          <w:rFonts w:ascii="Times New Roman" w:hAnsi="Times New Roman" w:cs="Times New Roman"/>
          <w:sz w:val="24"/>
          <w:szCs w:val="24"/>
        </w:rPr>
      </w:pPr>
    </w:p>
    <w:sectPr w:rsidR="00704FA4" w:rsidRPr="00CD36DB" w:rsidSect="00CD36DB">
      <w:pgSz w:w="12240" w:h="15840" w:code="1"/>
      <w:pgMar w:top="1134" w:right="1134" w:bottom="1134"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6060"/>
    <w:multiLevelType w:val="hybridMultilevel"/>
    <w:tmpl w:val="18DE3D4C"/>
    <w:lvl w:ilvl="0" w:tplc="038C5634">
      <w:start w:val="3"/>
      <w:numFmt w:val="lowerRoman"/>
      <w:lvlText w:val="(%1)"/>
      <w:lvlJc w:val="left"/>
      <w:pPr>
        <w:ind w:left="548" w:hanging="569"/>
      </w:pPr>
      <w:rPr>
        <w:rFonts w:ascii="Arial" w:eastAsia="Arial" w:hAnsi="Arial" w:hint="default"/>
        <w:w w:val="100"/>
        <w:sz w:val="24"/>
        <w:szCs w:val="24"/>
      </w:rPr>
    </w:lvl>
    <w:lvl w:ilvl="1" w:tplc="65E80188">
      <w:start w:val="1"/>
      <w:numFmt w:val="bullet"/>
      <w:lvlText w:val="•"/>
      <w:lvlJc w:val="left"/>
      <w:pPr>
        <w:ind w:left="1380" w:hanging="569"/>
      </w:pPr>
      <w:rPr>
        <w:rFonts w:hint="default"/>
      </w:rPr>
    </w:lvl>
    <w:lvl w:ilvl="2" w:tplc="212A95FA">
      <w:start w:val="1"/>
      <w:numFmt w:val="bullet"/>
      <w:lvlText w:val="•"/>
      <w:lvlJc w:val="left"/>
      <w:pPr>
        <w:ind w:left="2220" w:hanging="569"/>
      </w:pPr>
      <w:rPr>
        <w:rFonts w:hint="default"/>
      </w:rPr>
    </w:lvl>
    <w:lvl w:ilvl="3" w:tplc="2778A64C">
      <w:start w:val="1"/>
      <w:numFmt w:val="bullet"/>
      <w:lvlText w:val="•"/>
      <w:lvlJc w:val="left"/>
      <w:pPr>
        <w:ind w:left="3060" w:hanging="569"/>
      </w:pPr>
      <w:rPr>
        <w:rFonts w:hint="default"/>
      </w:rPr>
    </w:lvl>
    <w:lvl w:ilvl="4" w:tplc="5D8E7F12">
      <w:start w:val="1"/>
      <w:numFmt w:val="bullet"/>
      <w:lvlText w:val="•"/>
      <w:lvlJc w:val="left"/>
      <w:pPr>
        <w:ind w:left="3900" w:hanging="569"/>
      </w:pPr>
      <w:rPr>
        <w:rFonts w:hint="default"/>
      </w:rPr>
    </w:lvl>
    <w:lvl w:ilvl="5" w:tplc="53123F6A">
      <w:start w:val="1"/>
      <w:numFmt w:val="bullet"/>
      <w:lvlText w:val="•"/>
      <w:lvlJc w:val="left"/>
      <w:pPr>
        <w:ind w:left="4741" w:hanging="569"/>
      </w:pPr>
      <w:rPr>
        <w:rFonts w:hint="default"/>
      </w:rPr>
    </w:lvl>
    <w:lvl w:ilvl="6" w:tplc="49501A3E">
      <w:start w:val="1"/>
      <w:numFmt w:val="bullet"/>
      <w:lvlText w:val="•"/>
      <w:lvlJc w:val="left"/>
      <w:pPr>
        <w:ind w:left="5581" w:hanging="569"/>
      </w:pPr>
      <w:rPr>
        <w:rFonts w:hint="default"/>
      </w:rPr>
    </w:lvl>
    <w:lvl w:ilvl="7" w:tplc="2508238E">
      <w:start w:val="1"/>
      <w:numFmt w:val="bullet"/>
      <w:lvlText w:val="•"/>
      <w:lvlJc w:val="left"/>
      <w:pPr>
        <w:ind w:left="6421" w:hanging="569"/>
      </w:pPr>
      <w:rPr>
        <w:rFonts w:hint="default"/>
      </w:rPr>
    </w:lvl>
    <w:lvl w:ilvl="8" w:tplc="61B0F5FC">
      <w:start w:val="1"/>
      <w:numFmt w:val="bullet"/>
      <w:lvlText w:val="•"/>
      <w:lvlJc w:val="left"/>
      <w:pPr>
        <w:ind w:left="7261" w:hanging="569"/>
      </w:pPr>
      <w:rPr>
        <w:rFonts w:hint="default"/>
      </w:rPr>
    </w:lvl>
  </w:abstractNum>
  <w:abstractNum w:abstractNumId="1" w15:restartNumberingAfterBreak="0">
    <w:nsid w:val="2E896B8A"/>
    <w:multiLevelType w:val="hybridMultilevel"/>
    <w:tmpl w:val="C7661DD2"/>
    <w:lvl w:ilvl="0" w:tplc="6E5ACAC0">
      <w:start w:val="1"/>
      <w:numFmt w:val="decimal"/>
      <w:lvlText w:val="%1-"/>
      <w:lvlJc w:val="left"/>
      <w:pPr>
        <w:ind w:left="548" w:hanging="269"/>
      </w:pPr>
      <w:rPr>
        <w:rFonts w:ascii="Arial" w:eastAsia="Arial" w:hAnsi="Arial" w:hint="default"/>
        <w:w w:val="100"/>
        <w:sz w:val="24"/>
        <w:szCs w:val="24"/>
      </w:rPr>
    </w:lvl>
    <w:lvl w:ilvl="1" w:tplc="9ED28598">
      <w:start w:val="1"/>
      <w:numFmt w:val="decimal"/>
      <w:lvlText w:val="%2."/>
      <w:lvlJc w:val="left"/>
      <w:pPr>
        <w:ind w:left="1294" w:hanging="567"/>
      </w:pPr>
      <w:rPr>
        <w:rFonts w:ascii="Arial" w:eastAsia="Arial" w:hAnsi="Arial" w:hint="default"/>
        <w:w w:val="100"/>
        <w:sz w:val="24"/>
        <w:szCs w:val="24"/>
      </w:rPr>
    </w:lvl>
    <w:lvl w:ilvl="2" w:tplc="8CC84706">
      <w:start w:val="1"/>
      <w:numFmt w:val="bullet"/>
      <w:lvlText w:val="•"/>
      <w:lvlJc w:val="left"/>
      <w:pPr>
        <w:ind w:left="2149" w:hanging="567"/>
      </w:pPr>
      <w:rPr>
        <w:rFonts w:hint="default"/>
      </w:rPr>
    </w:lvl>
    <w:lvl w:ilvl="3" w:tplc="249E3CF0">
      <w:start w:val="1"/>
      <w:numFmt w:val="bullet"/>
      <w:lvlText w:val="•"/>
      <w:lvlJc w:val="left"/>
      <w:pPr>
        <w:ind w:left="2998" w:hanging="567"/>
      </w:pPr>
      <w:rPr>
        <w:rFonts w:hint="default"/>
      </w:rPr>
    </w:lvl>
    <w:lvl w:ilvl="4" w:tplc="3D4C1DBE">
      <w:start w:val="1"/>
      <w:numFmt w:val="bullet"/>
      <w:lvlText w:val="•"/>
      <w:lvlJc w:val="left"/>
      <w:pPr>
        <w:ind w:left="3847" w:hanging="567"/>
      </w:pPr>
      <w:rPr>
        <w:rFonts w:hint="default"/>
      </w:rPr>
    </w:lvl>
    <w:lvl w:ilvl="5" w:tplc="43B2645A">
      <w:start w:val="1"/>
      <w:numFmt w:val="bullet"/>
      <w:lvlText w:val="•"/>
      <w:lvlJc w:val="left"/>
      <w:pPr>
        <w:ind w:left="4696" w:hanging="567"/>
      </w:pPr>
      <w:rPr>
        <w:rFonts w:hint="default"/>
      </w:rPr>
    </w:lvl>
    <w:lvl w:ilvl="6" w:tplc="335A5D16">
      <w:start w:val="1"/>
      <w:numFmt w:val="bullet"/>
      <w:lvlText w:val="•"/>
      <w:lvlJc w:val="left"/>
      <w:pPr>
        <w:ind w:left="5545" w:hanging="567"/>
      </w:pPr>
      <w:rPr>
        <w:rFonts w:hint="default"/>
      </w:rPr>
    </w:lvl>
    <w:lvl w:ilvl="7" w:tplc="B218C39C">
      <w:start w:val="1"/>
      <w:numFmt w:val="bullet"/>
      <w:lvlText w:val="•"/>
      <w:lvlJc w:val="left"/>
      <w:pPr>
        <w:ind w:left="6394" w:hanging="567"/>
      </w:pPr>
      <w:rPr>
        <w:rFonts w:hint="default"/>
      </w:rPr>
    </w:lvl>
    <w:lvl w:ilvl="8" w:tplc="BD064216">
      <w:start w:val="1"/>
      <w:numFmt w:val="bullet"/>
      <w:lvlText w:val="•"/>
      <w:lvlJc w:val="left"/>
      <w:pPr>
        <w:ind w:left="7244" w:hanging="567"/>
      </w:pPr>
      <w:rPr>
        <w:rFonts w:hint="default"/>
      </w:rPr>
    </w:lvl>
  </w:abstractNum>
  <w:abstractNum w:abstractNumId="2" w15:restartNumberingAfterBreak="0">
    <w:nsid w:val="33EB7F98"/>
    <w:multiLevelType w:val="hybridMultilevel"/>
    <w:tmpl w:val="8D1AC2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A74269C"/>
    <w:multiLevelType w:val="hybridMultilevel"/>
    <w:tmpl w:val="C9D2F094"/>
    <w:lvl w:ilvl="0" w:tplc="150E0068">
      <w:start w:val="1"/>
      <w:numFmt w:val="lowerRoman"/>
      <w:lvlText w:val="(%1)"/>
      <w:lvlJc w:val="left"/>
      <w:pPr>
        <w:ind w:left="548" w:hanging="298"/>
      </w:pPr>
      <w:rPr>
        <w:rFonts w:ascii="Arial" w:eastAsia="Arial" w:hAnsi="Arial" w:hint="default"/>
        <w:w w:val="100"/>
        <w:sz w:val="24"/>
        <w:szCs w:val="24"/>
      </w:rPr>
    </w:lvl>
    <w:lvl w:ilvl="1" w:tplc="E40C1BBC">
      <w:start w:val="1"/>
      <w:numFmt w:val="bullet"/>
      <w:lvlText w:val="•"/>
      <w:lvlJc w:val="left"/>
      <w:pPr>
        <w:ind w:left="1380" w:hanging="298"/>
      </w:pPr>
      <w:rPr>
        <w:rFonts w:hint="default"/>
      </w:rPr>
    </w:lvl>
    <w:lvl w:ilvl="2" w:tplc="3EE66A84">
      <w:start w:val="1"/>
      <w:numFmt w:val="bullet"/>
      <w:lvlText w:val="•"/>
      <w:lvlJc w:val="left"/>
      <w:pPr>
        <w:ind w:left="2220" w:hanging="298"/>
      </w:pPr>
      <w:rPr>
        <w:rFonts w:hint="default"/>
      </w:rPr>
    </w:lvl>
    <w:lvl w:ilvl="3" w:tplc="D51C46BA">
      <w:start w:val="1"/>
      <w:numFmt w:val="bullet"/>
      <w:lvlText w:val="•"/>
      <w:lvlJc w:val="left"/>
      <w:pPr>
        <w:ind w:left="3060" w:hanging="298"/>
      </w:pPr>
      <w:rPr>
        <w:rFonts w:hint="default"/>
      </w:rPr>
    </w:lvl>
    <w:lvl w:ilvl="4" w:tplc="C726B454">
      <w:start w:val="1"/>
      <w:numFmt w:val="bullet"/>
      <w:lvlText w:val="•"/>
      <w:lvlJc w:val="left"/>
      <w:pPr>
        <w:ind w:left="3900" w:hanging="298"/>
      </w:pPr>
      <w:rPr>
        <w:rFonts w:hint="default"/>
      </w:rPr>
    </w:lvl>
    <w:lvl w:ilvl="5" w:tplc="7F9E6FC6">
      <w:start w:val="1"/>
      <w:numFmt w:val="bullet"/>
      <w:lvlText w:val="•"/>
      <w:lvlJc w:val="left"/>
      <w:pPr>
        <w:ind w:left="4741" w:hanging="298"/>
      </w:pPr>
      <w:rPr>
        <w:rFonts w:hint="default"/>
      </w:rPr>
    </w:lvl>
    <w:lvl w:ilvl="6" w:tplc="59DA8C6A">
      <w:start w:val="1"/>
      <w:numFmt w:val="bullet"/>
      <w:lvlText w:val="•"/>
      <w:lvlJc w:val="left"/>
      <w:pPr>
        <w:ind w:left="5581" w:hanging="298"/>
      </w:pPr>
      <w:rPr>
        <w:rFonts w:hint="default"/>
      </w:rPr>
    </w:lvl>
    <w:lvl w:ilvl="7" w:tplc="5914B6F6">
      <w:start w:val="1"/>
      <w:numFmt w:val="bullet"/>
      <w:lvlText w:val="•"/>
      <w:lvlJc w:val="left"/>
      <w:pPr>
        <w:ind w:left="6421" w:hanging="298"/>
      </w:pPr>
      <w:rPr>
        <w:rFonts w:hint="default"/>
      </w:rPr>
    </w:lvl>
    <w:lvl w:ilvl="8" w:tplc="95F43428">
      <w:start w:val="1"/>
      <w:numFmt w:val="bullet"/>
      <w:lvlText w:val="•"/>
      <w:lvlJc w:val="left"/>
      <w:pPr>
        <w:ind w:left="7261" w:hanging="298"/>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E2"/>
    <w:rsid w:val="00002CFB"/>
    <w:rsid w:val="001302B1"/>
    <w:rsid w:val="00245737"/>
    <w:rsid w:val="00463CE2"/>
    <w:rsid w:val="004F3C90"/>
    <w:rsid w:val="00704FA4"/>
    <w:rsid w:val="009622E5"/>
    <w:rsid w:val="00CD36DB"/>
    <w:rsid w:val="00E27F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2D69E"/>
  <w15:docId w15:val="{2C5843A0-B088-47B9-8405-215DECC9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uiPriority w:val="9"/>
    <w:qFormat/>
    <w:pPr>
      <w:ind w:left="548"/>
      <w:outlineLvl w:val="0"/>
    </w:pPr>
    <w:rPr>
      <w:rFonts w:ascii="Arial" w:eastAsia="Arial" w:hAnsi="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548"/>
    </w:pPr>
    <w:rPr>
      <w:rFonts w:ascii="Arial" w:eastAsia="Arial" w:hAnsi="Arial"/>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Textodelmarcadordeposicin">
    <w:name w:val="Placeholder Text"/>
    <w:basedOn w:val="Fuentedeprrafopredeter"/>
    <w:uiPriority w:val="99"/>
    <w:semiHidden/>
    <w:rsid w:val="00CD36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3540</Words>
  <Characters>19472</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YENNY LORENA ACEVEDO ASTUDILLO</dc:creator>
  <cp:lastModifiedBy>CNETCO</cp:lastModifiedBy>
  <cp:revision>5</cp:revision>
  <dcterms:created xsi:type="dcterms:W3CDTF">2019-10-19T17:44:00Z</dcterms:created>
  <dcterms:modified xsi:type="dcterms:W3CDTF">2019-10-19T23:14:00Z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Word para Office 365</vt:lpwstr>
  </property>
  <property fmtid="{D5CDD505-2E9C-101B-9397-08002B2CF9AE}" pid="4" name="LastSaved">
    <vt:filetime>2019-10-19T00:00:00Z</vt:filetime>
  </property>
</Properties>
</file>