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4F4AE" w14:textId="77777777" w:rsidR="00F506FA" w:rsidRPr="00F506FA" w:rsidRDefault="00F506FA" w:rsidP="00F506FA">
      <w:pPr>
        <w:widowControl w:val="0"/>
        <w:overflowPunct w:val="0"/>
        <w:contextualSpacing/>
        <w:jc w:val="center"/>
        <w:outlineLvl w:val="0"/>
        <w:rPr>
          <w:rFonts w:ascii="Arial" w:eastAsia="Verdana" w:hAnsi="Arial" w:cs="Arial"/>
          <w:b/>
          <w:sz w:val="24"/>
          <w:szCs w:val="24"/>
          <w:lang w:eastAsia="ja-JP"/>
        </w:rPr>
      </w:pPr>
      <w:bookmarkStart w:id="0" w:name="_GoBack"/>
      <w:bookmarkEnd w:id="0"/>
      <w:r w:rsidRPr="00F506FA">
        <w:rPr>
          <w:rFonts w:ascii="Arial" w:eastAsia="Verdana" w:hAnsi="Arial" w:cs="Arial"/>
          <w:b/>
          <w:sz w:val="24"/>
          <w:szCs w:val="24"/>
          <w:lang w:eastAsia="ja-JP"/>
        </w:rPr>
        <w:t>CONSEJO DE ESTADO</w:t>
      </w:r>
    </w:p>
    <w:p w14:paraId="5A8B72B4" w14:textId="77777777" w:rsidR="00F506FA" w:rsidRPr="00F506FA" w:rsidRDefault="00F506FA" w:rsidP="00F506FA">
      <w:pPr>
        <w:widowControl w:val="0"/>
        <w:overflowPunct w:val="0"/>
        <w:contextualSpacing/>
        <w:jc w:val="center"/>
        <w:outlineLvl w:val="0"/>
        <w:rPr>
          <w:rFonts w:ascii="Arial" w:eastAsia="Verdana" w:hAnsi="Arial" w:cs="Arial"/>
          <w:b/>
          <w:sz w:val="24"/>
          <w:szCs w:val="24"/>
          <w:lang w:eastAsia="ja-JP"/>
        </w:rPr>
      </w:pPr>
      <w:r w:rsidRPr="00F506FA">
        <w:rPr>
          <w:rFonts w:ascii="Arial" w:eastAsia="Verdana" w:hAnsi="Arial" w:cs="Arial"/>
          <w:b/>
          <w:sz w:val="24"/>
          <w:szCs w:val="24"/>
          <w:lang w:eastAsia="ja-JP"/>
        </w:rPr>
        <w:t>SALA DE LO CONTENCIOSO ADMINISTRATIVO</w:t>
      </w:r>
    </w:p>
    <w:p w14:paraId="32BC45C6" w14:textId="77777777" w:rsidR="00F506FA" w:rsidRPr="00F506FA" w:rsidRDefault="00F506FA" w:rsidP="00F506FA">
      <w:pPr>
        <w:widowControl w:val="0"/>
        <w:overflowPunct w:val="0"/>
        <w:contextualSpacing/>
        <w:jc w:val="center"/>
        <w:outlineLvl w:val="0"/>
        <w:rPr>
          <w:rFonts w:ascii="Arial" w:eastAsia="Arial" w:hAnsi="Arial" w:cs="Arial"/>
          <w:b/>
          <w:sz w:val="24"/>
          <w:szCs w:val="24"/>
          <w:lang w:eastAsia="ja-JP"/>
        </w:rPr>
      </w:pPr>
      <w:r w:rsidRPr="00F506FA">
        <w:rPr>
          <w:rFonts w:ascii="Arial" w:eastAsia="Verdana" w:hAnsi="Arial" w:cs="Arial"/>
          <w:b/>
          <w:sz w:val="24"/>
          <w:szCs w:val="24"/>
          <w:lang w:eastAsia="ja-JP"/>
        </w:rPr>
        <w:t>SECCIÓN CUARTA</w:t>
      </w:r>
    </w:p>
    <w:p w14:paraId="7BCD835C" w14:textId="77777777" w:rsidR="00F506FA" w:rsidRPr="00F506FA" w:rsidRDefault="00F506FA" w:rsidP="00F506FA">
      <w:pPr>
        <w:widowControl w:val="0"/>
        <w:overflowPunct w:val="0"/>
        <w:contextualSpacing/>
        <w:jc w:val="both"/>
        <w:rPr>
          <w:rFonts w:ascii="Arial" w:eastAsia="Arial" w:hAnsi="Arial" w:cs="Arial"/>
          <w:sz w:val="24"/>
          <w:szCs w:val="24"/>
          <w:lang w:eastAsia="ja-JP"/>
        </w:rPr>
      </w:pPr>
    </w:p>
    <w:p w14:paraId="163556BD" w14:textId="77777777" w:rsidR="00F506FA" w:rsidRPr="00F506FA" w:rsidRDefault="00F506FA" w:rsidP="00F506FA">
      <w:pPr>
        <w:widowControl w:val="0"/>
        <w:overflowPunct w:val="0"/>
        <w:contextualSpacing/>
        <w:jc w:val="both"/>
        <w:rPr>
          <w:rFonts w:ascii="Arial" w:eastAsia="Arial" w:hAnsi="Arial" w:cs="Arial"/>
          <w:sz w:val="24"/>
          <w:szCs w:val="24"/>
          <w:lang w:eastAsia="ja-JP"/>
        </w:rPr>
      </w:pPr>
    </w:p>
    <w:p w14:paraId="174D3CF2" w14:textId="77777777" w:rsidR="00F506FA" w:rsidRPr="00F506FA" w:rsidRDefault="00F506FA" w:rsidP="00F506FA">
      <w:pPr>
        <w:widowControl w:val="0"/>
        <w:overflowPunct w:val="0"/>
        <w:contextualSpacing/>
        <w:jc w:val="center"/>
        <w:outlineLvl w:val="0"/>
        <w:rPr>
          <w:rFonts w:ascii="Arial" w:eastAsia="Arial" w:hAnsi="Arial" w:cs="Arial"/>
          <w:b/>
          <w:sz w:val="24"/>
          <w:szCs w:val="24"/>
          <w:lang w:eastAsia="ja-JP"/>
        </w:rPr>
      </w:pPr>
      <w:r w:rsidRPr="00F506FA">
        <w:rPr>
          <w:rFonts w:ascii="Arial" w:eastAsia="Arial" w:hAnsi="Arial" w:cs="Arial"/>
          <w:b/>
          <w:sz w:val="24"/>
          <w:szCs w:val="24"/>
          <w:lang w:eastAsia="ja-JP"/>
        </w:rPr>
        <w:t>CONSEJERO PONENTE: JULIO ROBERTO PIZA RODRÍGUEZ</w:t>
      </w:r>
    </w:p>
    <w:p w14:paraId="0927D0CE" w14:textId="77777777" w:rsidR="00F506FA" w:rsidRPr="00F506FA" w:rsidRDefault="00F506FA" w:rsidP="00F506FA">
      <w:pPr>
        <w:widowControl w:val="0"/>
        <w:overflowPunct w:val="0"/>
        <w:contextualSpacing/>
        <w:jc w:val="both"/>
        <w:rPr>
          <w:rFonts w:ascii="Arial" w:eastAsia="Arial" w:hAnsi="Arial" w:cs="Arial"/>
          <w:sz w:val="24"/>
          <w:szCs w:val="24"/>
          <w:lang w:eastAsia="ja-JP"/>
        </w:rPr>
      </w:pPr>
    </w:p>
    <w:p w14:paraId="57822DD9" w14:textId="77777777" w:rsidR="00F506FA" w:rsidRPr="00F506FA" w:rsidRDefault="00F506FA" w:rsidP="00F506FA">
      <w:pPr>
        <w:widowControl w:val="0"/>
        <w:overflowPunct w:val="0"/>
        <w:contextualSpacing/>
        <w:jc w:val="both"/>
        <w:rPr>
          <w:rFonts w:ascii="Arial" w:eastAsia="Arial" w:hAnsi="Arial" w:cs="Arial"/>
          <w:sz w:val="24"/>
          <w:szCs w:val="24"/>
          <w:lang w:eastAsia="ja-JP"/>
        </w:rPr>
      </w:pPr>
    </w:p>
    <w:p w14:paraId="3825D4D2" w14:textId="77777777" w:rsidR="00F506FA" w:rsidRPr="00F506FA" w:rsidRDefault="00F506FA" w:rsidP="00F506FA">
      <w:pPr>
        <w:widowControl w:val="0"/>
        <w:overflowPunct w:val="0"/>
        <w:contextualSpacing/>
        <w:jc w:val="center"/>
        <w:outlineLvl w:val="0"/>
        <w:rPr>
          <w:rFonts w:ascii="Arial" w:eastAsia="Arial" w:hAnsi="Arial" w:cs="Arial"/>
          <w:sz w:val="24"/>
          <w:szCs w:val="24"/>
          <w:lang w:eastAsia="ja-JP"/>
        </w:rPr>
      </w:pPr>
      <w:r w:rsidRPr="00F506FA">
        <w:rPr>
          <w:rFonts w:ascii="Arial" w:eastAsia="Arial" w:hAnsi="Arial" w:cs="Arial"/>
          <w:sz w:val="24"/>
          <w:szCs w:val="24"/>
          <w:lang w:eastAsia="ja-JP"/>
        </w:rPr>
        <w:t>Bogotá, D. C., quince (15) de mayo dos mil diecinueve (2019)</w:t>
      </w:r>
    </w:p>
    <w:p w14:paraId="1E6240DA" w14:textId="77777777" w:rsidR="00F506FA" w:rsidRPr="00F506FA" w:rsidRDefault="00F506FA" w:rsidP="00F506FA">
      <w:pPr>
        <w:widowControl w:val="0"/>
        <w:overflowPunct w:val="0"/>
        <w:contextualSpacing/>
        <w:jc w:val="both"/>
        <w:rPr>
          <w:rFonts w:ascii="Arial" w:eastAsia="Arial" w:hAnsi="Arial" w:cs="Arial"/>
          <w:sz w:val="24"/>
          <w:szCs w:val="24"/>
          <w:lang w:eastAsia="ja-JP"/>
        </w:rPr>
      </w:pPr>
    </w:p>
    <w:p w14:paraId="3A5EA664" w14:textId="77777777" w:rsidR="00F506FA" w:rsidRPr="00F506FA" w:rsidRDefault="00F506FA" w:rsidP="00F506FA">
      <w:pPr>
        <w:widowControl w:val="0"/>
        <w:overflowPunct w:val="0"/>
        <w:contextualSpacing/>
        <w:jc w:val="both"/>
        <w:rPr>
          <w:rFonts w:ascii="Arial" w:eastAsia="Arial" w:hAnsi="Arial" w:cs="Arial"/>
          <w:sz w:val="24"/>
          <w:szCs w:val="24"/>
          <w:lang w:eastAsia="ja-JP"/>
        </w:rPr>
      </w:pPr>
    </w:p>
    <w:p w14:paraId="5C2210D6" w14:textId="77777777" w:rsidR="00F506FA" w:rsidRPr="00F506FA" w:rsidRDefault="00F506FA" w:rsidP="00F506FA">
      <w:pPr>
        <w:widowControl w:val="0"/>
        <w:ind w:left="2552" w:hanging="2552"/>
        <w:contextualSpacing/>
        <w:rPr>
          <w:rFonts w:ascii="Arial" w:eastAsia="Times New Roman" w:hAnsi="Arial" w:cs="Arial"/>
          <w:sz w:val="24"/>
          <w:szCs w:val="24"/>
          <w:lang w:eastAsia="ja-JP"/>
        </w:rPr>
      </w:pPr>
      <w:r w:rsidRPr="00F506FA">
        <w:rPr>
          <w:rFonts w:ascii="Arial" w:eastAsia="Times New Roman" w:hAnsi="Arial" w:cs="Arial"/>
          <w:b/>
          <w:sz w:val="24"/>
          <w:szCs w:val="24"/>
          <w:lang w:eastAsia="ja-JP"/>
        </w:rPr>
        <w:t>Referencia:</w:t>
      </w:r>
      <w:r w:rsidRPr="00F506FA">
        <w:rPr>
          <w:rFonts w:ascii="Arial" w:eastAsia="Times New Roman" w:hAnsi="Arial" w:cs="Arial"/>
          <w:sz w:val="24"/>
          <w:szCs w:val="24"/>
          <w:lang w:eastAsia="ja-JP"/>
        </w:rPr>
        <w:tab/>
        <w:t>NULIDAD Y RESTABLECIMIENTO DEL DERECHO</w:t>
      </w:r>
    </w:p>
    <w:p w14:paraId="21ECB8A9" w14:textId="77777777" w:rsidR="00F506FA" w:rsidRPr="00F506FA" w:rsidRDefault="00F506FA" w:rsidP="00F506FA">
      <w:pPr>
        <w:widowControl w:val="0"/>
        <w:ind w:left="2552" w:hanging="2552"/>
        <w:contextualSpacing/>
        <w:rPr>
          <w:rFonts w:ascii="Arial" w:eastAsia="Times New Roman" w:hAnsi="Arial" w:cs="Arial"/>
          <w:sz w:val="24"/>
          <w:szCs w:val="24"/>
          <w:lang w:eastAsia="ja-JP"/>
        </w:rPr>
      </w:pPr>
      <w:r w:rsidRPr="00F506FA">
        <w:rPr>
          <w:rFonts w:ascii="Arial" w:eastAsia="Times New Roman" w:hAnsi="Arial" w:cs="Arial"/>
          <w:b/>
          <w:sz w:val="24"/>
          <w:szCs w:val="24"/>
          <w:lang w:eastAsia="ja-JP"/>
        </w:rPr>
        <w:t>Radicación:</w:t>
      </w:r>
      <w:r w:rsidRPr="00F506FA">
        <w:rPr>
          <w:rFonts w:ascii="Arial" w:eastAsia="Times New Roman" w:hAnsi="Arial" w:cs="Arial"/>
          <w:b/>
          <w:sz w:val="24"/>
          <w:szCs w:val="24"/>
          <w:lang w:eastAsia="ja-JP"/>
        </w:rPr>
        <w:tab/>
      </w:r>
      <w:r w:rsidRPr="00F506FA">
        <w:rPr>
          <w:rFonts w:ascii="Arial" w:eastAsia="Times New Roman" w:hAnsi="Arial" w:cs="Arial"/>
          <w:sz w:val="24"/>
          <w:szCs w:val="24"/>
          <w:lang w:eastAsia="ja-JP"/>
        </w:rPr>
        <w:t>66001-23-33-000-2014-00080-01 (21780)</w:t>
      </w:r>
    </w:p>
    <w:p w14:paraId="1174F9D9" w14:textId="77777777" w:rsidR="00F506FA" w:rsidRPr="00F506FA" w:rsidRDefault="00F506FA" w:rsidP="00F506FA">
      <w:pPr>
        <w:widowControl w:val="0"/>
        <w:ind w:left="2552" w:hanging="2552"/>
        <w:contextualSpacing/>
        <w:rPr>
          <w:rFonts w:ascii="Arial" w:eastAsia="Times New Roman" w:hAnsi="Arial" w:cs="Arial"/>
          <w:b/>
          <w:sz w:val="24"/>
          <w:szCs w:val="24"/>
          <w:lang w:eastAsia="ja-JP"/>
        </w:rPr>
      </w:pPr>
      <w:r w:rsidRPr="00F506FA">
        <w:rPr>
          <w:rFonts w:ascii="Arial" w:eastAsia="Times New Roman" w:hAnsi="Arial" w:cs="Arial"/>
          <w:b/>
          <w:sz w:val="24"/>
          <w:szCs w:val="24"/>
          <w:lang w:eastAsia="ja-JP"/>
        </w:rPr>
        <w:t>Demandante:</w:t>
      </w:r>
      <w:r w:rsidRPr="00F506FA">
        <w:rPr>
          <w:rFonts w:ascii="Arial" w:eastAsia="Times New Roman" w:hAnsi="Arial" w:cs="Arial"/>
          <w:b/>
          <w:sz w:val="24"/>
          <w:szCs w:val="24"/>
          <w:lang w:eastAsia="ja-JP"/>
        </w:rPr>
        <w:tab/>
      </w:r>
      <w:r w:rsidRPr="00F506FA">
        <w:rPr>
          <w:rFonts w:ascii="Arial" w:eastAsia="Times New Roman" w:hAnsi="Arial" w:cs="Arial"/>
          <w:smallCaps/>
          <w:sz w:val="24"/>
          <w:szCs w:val="24"/>
          <w:lang w:eastAsia="ja-JP"/>
        </w:rPr>
        <w:t xml:space="preserve">Ubaldo Antonio </w:t>
      </w:r>
      <w:proofErr w:type="spellStart"/>
      <w:r w:rsidRPr="00F506FA">
        <w:rPr>
          <w:rFonts w:ascii="Arial" w:eastAsia="Times New Roman" w:hAnsi="Arial" w:cs="Arial"/>
          <w:smallCaps/>
          <w:sz w:val="24"/>
          <w:szCs w:val="24"/>
          <w:lang w:eastAsia="ja-JP"/>
        </w:rPr>
        <w:t>Betancourth</w:t>
      </w:r>
      <w:proofErr w:type="spellEnd"/>
      <w:r w:rsidRPr="00F506FA">
        <w:rPr>
          <w:rFonts w:ascii="Arial" w:eastAsia="Times New Roman" w:hAnsi="Arial" w:cs="Arial"/>
          <w:smallCaps/>
          <w:sz w:val="24"/>
          <w:szCs w:val="24"/>
          <w:lang w:eastAsia="ja-JP"/>
        </w:rPr>
        <w:t xml:space="preserve"> Trejos</w:t>
      </w:r>
    </w:p>
    <w:p w14:paraId="4FA1B420" w14:textId="77777777" w:rsidR="00F506FA" w:rsidRPr="00F506FA" w:rsidRDefault="00F506FA" w:rsidP="00F506FA">
      <w:pPr>
        <w:widowControl w:val="0"/>
        <w:ind w:left="2552" w:hanging="2552"/>
        <w:contextualSpacing/>
        <w:jc w:val="both"/>
        <w:rPr>
          <w:rFonts w:ascii="Arial" w:eastAsia="Times New Roman" w:hAnsi="Arial" w:cs="Arial"/>
          <w:b/>
          <w:bCs/>
          <w:sz w:val="24"/>
          <w:szCs w:val="24"/>
          <w:lang w:eastAsia="ja-JP"/>
        </w:rPr>
      </w:pPr>
      <w:r w:rsidRPr="00F506FA">
        <w:rPr>
          <w:rFonts w:ascii="Arial" w:eastAsia="Times New Roman" w:hAnsi="Arial" w:cs="Arial"/>
          <w:b/>
          <w:bCs/>
          <w:sz w:val="24"/>
          <w:szCs w:val="24"/>
          <w:lang w:eastAsia="ja-JP"/>
        </w:rPr>
        <w:t>Demandado:</w:t>
      </w:r>
      <w:r w:rsidRPr="00F506FA">
        <w:rPr>
          <w:rFonts w:ascii="Arial" w:eastAsia="Times New Roman" w:hAnsi="Arial" w:cs="Arial"/>
          <w:b/>
          <w:bCs/>
          <w:sz w:val="24"/>
          <w:szCs w:val="24"/>
          <w:lang w:eastAsia="ja-JP"/>
        </w:rPr>
        <w:tab/>
      </w:r>
      <w:r w:rsidRPr="00F506FA">
        <w:rPr>
          <w:rFonts w:ascii="Arial" w:eastAsia="Times New Roman" w:hAnsi="Arial" w:cs="Arial"/>
          <w:smallCaps/>
          <w:sz w:val="24"/>
          <w:szCs w:val="24"/>
          <w:lang w:eastAsia="ja-JP"/>
        </w:rPr>
        <w:t>Dian</w:t>
      </w:r>
    </w:p>
    <w:p w14:paraId="0988159B" w14:textId="77777777" w:rsidR="00F506FA" w:rsidRPr="00F506FA" w:rsidRDefault="00F506FA" w:rsidP="00F506FA">
      <w:pPr>
        <w:widowControl w:val="0"/>
        <w:ind w:left="2552" w:hanging="2552"/>
        <w:contextualSpacing/>
        <w:rPr>
          <w:rFonts w:ascii="Arial" w:eastAsia="Times New Roman" w:hAnsi="Arial" w:cs="Arial"/>
          <w:bCs/>
          <w:sz w:val="24"/>
          <w:szCs w:val="24"/>
          <w:lang w:eastAsia="ja-JP"/>
        </w:rPr>
      </w:pPr>
    </w:p>
    <w:p w14:paraId="44B196F4" w14:textId="77777777" w:rsidR="00F506FA" w:rsidRPr="00F506FA" w:rsidRDefault="00F506FA" w:rsidP="00F506FA">
      <w:pPr>
        <w:widowControl w:val="0"/>
        <w:ind w:left="2552" w:hanging="2552"/>
        <w:contextualSpacing/>
        <w:jc w:val="both"/>
        <w:rPr>
          <w:rFonts w:ascii="Arial" w:eastAsia="Times New Roman" w:hAnsi="Arial" w:cs="Arial"/>
          <w:bCs/>
          <w:sz w:val="24"/>
          <w:szCs w:val="24"/>
          <w:lang w:eastAsia="ja-JP"/>
        </w:rPr>
      </w:pPr>
      <w:r w:rsidRPr="00F506FA">
        <w:rPr>
          <w:rFonts w:ascii="Arial" w:eastAsia="Times New Roman" w:hAnsi="Arial" w:cs="Arial"/>
          <w:b/>
          <w:bCs/>
          <w:sz w:val="24"/>
          <w:szCs w:val="24"/>
          <w:lang w:eastAsia="ja-JP"/>
        </w:rPr>
        <w:t>Tema:</w:t>
      </w:r>
      <w:r w:rsidRPr="00F506FA">
        <w:rPr>
          <w:rFonts w:ascii="Arial" w:eastAsia="Times New Roman" w:hAnsi="Arial" w:cs="Arial"/>
          <w:b/>
          <w:bCs/>
          <w:sz w:val="24"/>
          <w:szCs w:val="24"/>
          <w:lang w:eastAsia="ja-JP"/>
        </w:rPr>
        <w:tab/>
      </w:r>
      <w:r w:rsidRPr="00F506FA">
        <w:rPr>
          <w:rFonts w:ascii="Arial" w:eastAsia="Times New Roman" w:hAnsi="Arial" w:cs="Arial"/>
          <w:bCs/>
          <w:sz w:val="24"/>
          <w:szCs w:val="24"/>
          <w:lang w:eastAsia="ja-JP"/>
        </w:rPr>
        <w:t>Impuesto de renta 2009. Notificación requerimiento especial. Notificación por aviso.</w:t>
      </w:r>
    </w:p>
    <w:p w14:paraId="6BF8D898" w14:textId="77777777" w:rsidR="00F506FA" w:rsidRPr="00F506FA" w:rsidRDefault="00F506FA" w:rsidP="00F506FA">
      <w:pPr>
        <w:widowControl w:val="0"/>
        <w:contextualSpacing/>
        <w:rPr>
          <w:rFonts w:ascii="Arial" w:eastAsia="Times New Roman" w:hAnsi="Arial" w:cs="Arial"/>
          <w:bCs/>
          <w:sz w:val="24"/>
          <w:szCs w:val="24"/>
          <w:lang w:eastAsia="ja-JP"/>
        </w:rPr>
      </w:pPr>
    </w:p>
    <w:p w14:paraId="449A23C6" w14:textId="77777777" w:rsidR="00F506FA" w:rsidRPr="00F506FA" w:rsidRDefault="00F506FA" w:rsidP="00F506FA">
      <w:pPr>
        <w:widowControl w:val="0"/>
        <w:contextualSpacing/>
        <w:rPr>
          <w:rFonts w:ascii="Arial" w:eastAsia="Times New Roman" w:hAnsi="Arial" w:cs="Arial"/>
          <w:bCs/>
          <w:sz w:val="24"/>
          <w:szCs w:val="24"/>
          <w:lang w:eastAsia="ja-JP"/>
        </w:rPr>
      </w:pPr>
    </w:p>
    <w:p w14:paraId="685B33C6" w14:textId="77777777" w:rsidR="00F506FA" w:rsidRPr="00F506FA" w:rsidRDefault="00F506FA" w:rsidP="00F506FA">
      <w:pPr>
        <w:widowControl w:val="0"/>
        <w:pBdr>
          <w:bottom w:val="single" w:sz="12" w:space="0" w:color="auto"/>
        </w:pBdr>
        <w:contextualSpacing/>
        <w:rPr>
          <w:rFonts w:ascii="Arial" w:eastAsia="Times New Roman" w:hAnsi="Arial" w:cs="Arial"/>
          <w:b/>
          <w:sz w:val="24"/>
          <w:szCs w:val="24"/>
          <w:lang w:eastAsia="ja-JP"/>
        </w:rPr>
      </w:pPr>
      <w:r w:rsidRPr="00F506FA">
        <w:rPr>
          <w:rFonts w:ascii="Arial" w:eastAsia="Times New Roman" w:hAnsi="Arial" w:cs="Arial"/>
          <w:b/>
          <w:sz w:val="24"/>
          <w:szCs w:val="24"/>
          <w:lang w:eastAsia="ja-JP"/>
        </w:rPr>
        <w:t>SENTENCIA DE SEGUNDA INSTANCIA</w:t>
      </w:r>
    </w:p>
    <w:p w14:paraId="0DDE32C3" w14:textId="77777777" w:rsidR="00F506FA" w:rsidRPr="00F506FA" w:rsidRDefault="00F506FA" w:rsidP="00F506FA">
      <w:pPr>
        <w:widowControl w:val="0"/>
        <w:contextualSpacing/>
        <w:jc w:val="both"/>
        <w:rPr>
          <w:rFonts w:ascii="Arial" w:eastAsia="Times New Roman" w:hAnsi="Arial" w:cs="Arial"/>
          <w:bCs/>
          <w:sz w:val="24"/>
          <w:szCs w:val="24"/>
          <w:lang w:eastAsia="ja-JP"/>
        </w:rPr>
      </w:pPr>
    </w:p>
    <w:p w14:paraId="204E11AC" w14:textId="77777777" w:rsidR="00F506FA" w:rsidRPr="00F506FA" w:rsidRDefault="00F506FA" w:rsidP="00F506FA">
      <w:pPr>
        <w:widowControl w:val="0"/>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ja-JP"/>
        </w:rPr>
        <w:t>La Sala decide el recurso de apelación interpuesto por el demandante contra la sentencia del 27 de enero de 2015, proferida por el Tribunal Administrativo de Risaralda, Sala Segunda de Decisión, que negó las súplicas de la demanda (f. 177).</w:t>
      </w:r>
    </w:p>
    <w:p w14:paraId="6E08BB1D"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5FFF3A40"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5D6A86AF" w14:textId="77777777" w:rsidR="00F506FA" w:rsidRPr="00F506FA" w:rsidRDefault="00F506FA" w:rsidP="00F506FA">
      <w:pPr>
        <w:widowControl w:val="0"/>
        <w:contextualSpacing/>
        <w:jc w:val="center"/>
        <w:rPr>
          <w:rFonts w:ascii="Arial" w:eastAsia="Times New Roman" w:hAnsi="Arial" w:cs="Arial"/>
          <w:sz w:val="24"/>
          <w:szCs w:val="24"/>
          <w:lang w:eastAsia="ja-JP"/>
        </w:rPr>
      </w:pPr>
      <w:r w:rsidRPr="00F506FA">
        <w:rPr>
          <w:rFonts w:ascii="Arial" w:eastAsia="Times New Roman" w:hAnsi="Arial" w:cs="Arial"/>
          <w:b/>
          <w:sz w:val="24"/>
          <w:szCs w:val="24"/>
          <w:lang w:eastAsia="ja-JP"/>
        </w:rPr>
        <w:t>ANTECEDENTES DE LA ACTUACIÓN ADMINISTRATIVA</w:t>
      </w:r>
    </w:p>
    <w:p w14:paraId="5ABDD4D2"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3F9A4FAF"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1DEFCCC9" w14:textId="77777777" w:rsidR="00F506FA" w:rsidRPr="00F506FA" w:rsidRDefault="00F506FA" w:rsidP="00F506FA">
      <w:pPr>
        <w:widowControl w:val="0"/>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ja-JP"/>
        </w:rPr>
        <w:t xml:space="preserve">El 30 de julio de 2010, Ubaldo Antonio </w:t>
      </w:r>
      <w:proofErr w:type="spellStart"/>
      <w:r w:rsidRPr="00F506FA">
        <w:rPr>
          <w:rFonts w:ascii="Arial" w:eastAsia="Times New Roman" w:hAnsi="Arial" w:cs="Arial"/>
          <w:sz w:val="24"/>
          <w:szCs w:val="24"/>
          <w:lang w:eastAsia="ja-JP"/>
        </w:rPr>
        <w:t>Betancourth</w:t>
      </w:r>
      <w:proofErr w:type="spellEnd"/>
      <w:r w:rsidRPr="00F506FA">
        <w:rPr>
          <w:rFonts w:ascii="Arial" w:eastAsia="Times New Roman" w:hAnsi="Arial" w:cs="Arial"/>
          <w:sz w:val="24"/>
          <w:szCs w:val="24"/>
          <w:lang w:eastAsia="ja-JP"/>
        </w:rPr>
        <w:t xml:space="preserve"> Trejos presentó oportunamente la declaración del impuesto sobre la renta y complementarios</w:t>
      </w:r>
      <w:r w:rsidRPr="00F506FA">
        <w:rPr>
          <w:rFonts w:ascii="Arial" w:eastAsia="Times New Roman" w:hAnsi="Arial" w:cs="Arial"/>
          <w:sz w:val="24"/>
          <w:szCs w:val="24"/>
          <w:lang w:val="es-CO" w:eastAsia="ja-JP"/>
        </w:rPr>
        <w:t xml:space="preserve"> del año </w:t>
      </w:r>
      <w:r w:rsidRPr="00F506FA">
        <w:rPr>
          <w:rFonts w:ascii="Arial" w:eastAsia="Times New Roman" w:hAnsi="Arial" w:cs="Arial"/>
          <w:sz w:val="24"/>
          <w:szCs w:val="24"/>
          <w:lang w:eastAsia="ja-JP"/>
        </w:rPr>
        <w:t>gravable 2009 (f. 8 ca). La DIAN propuso modificar la anterior liquidación privada, a través del</w:t>
      </w:r>
      <w:r w:rsidRPr="00F506FA">
        <w:rPr>
          <w:rFonts w:ascii="Arial" w:eastAsia="Times New Roman" w:hAnsi="Arial" w:cs="Arial"/>
          <w:sz w:val="24"/>
          <w:szCs w:val="24"/>
          <w:lang w:val="es-CO" w:eastAsia="ja-JP"/>
        </w:rPr>
        <w:t xml:space="preserve"> </w:t>
      </w:r>
      <w:r w:rsidRPr="00F506FA">
        <w:rPr>
          <w:rFonts w:ascii="Arial" w:eastAsia="Times New Roman" w:hAnsi="Arial" w:cs="Arial"/>
          <w:sz w:val="24"/>
          <w:szCs w:val="24"/>
          <w:lang w:eastAsia="ja-JP"/>
        </w:rPr>
        <w:t>Requerimiento Especial nro. 162382012000043, del 31 de mayo de 2012 (</w:t>
      </w:r>
      <w:proofErr w:type="spellStart"/>
      <w:r w:rsidRPr="00F506FA">
        <w:rPr>
          <w:rFonts w:ascii="Arial" w:eastAsia="Times New Roman" w:hAnsi="Arial" w:cs="Arial"/>
          <w:sz w:val="24"/>
          <w:szCs w:val="24"/>
          <w:lang w:eastAsia="ja-JP"/>
        </w:rPr>
        <w:t>ff</w:t>
      </w:r>
      <w:proofErr w:type="spellEnd"/>
      <w:r w:rsidRPr="00F506FA">
        <w:rPr>
          <w:rFonts w:ascii="Arial" w:eastAsia="Times New Roman" w:hAnsi="Arial" w:cs="Arial"/>
          <w:sz w:val="24"/>
          <w:szCs w:val="24"/>
          <w:lang w:eastAsia="ja-JP"/>
        </w:rPr>
        <w:t xml:space="preserve">. 104 a 116 ca). En dicho acto, la Administración realizó dos glosas, en la primera determinó el impuesto a cargo por el sistema ordinario y, en la segunda glosa, propuso determinar el impuesto a cargo de acuerdo con el sistema de renta por comparación patrimonial, con la respectiva sanción por inexactitud. </w:t>
      </w:r>
    </w:p>
    <w:p w14:paraId="138FF731"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150AC0CF" w14:textId="77777777" w:rsidR="00F506FA" w:rsidRPr="00F506FA" w:rsidRDefault="00F506FA" w:rsidP="00F506FA">
      <w:pPr>
        <w:widowControl w:val="0"/>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ja-JP"/>
        </w:rPr>
        <w:t xml:space="preserve">El referido acto preparatorio fue notificado por aviso, el 26 de junio de 2012 (f. </w:t>
      </w:r>
      <w:r w:rsidRPr="00F506FA">
        <w:rPr>
          <w:rFonts w:ascii="Arial" w:eastAsia="Times New Roman" w:hAnsi="Arial" w:cs="Arial"/>
          <w:sz w:val="24"/>
          <w:szCs w:val="24"/>
          <w:lang w:eastAsia="ja-JP"/>
        </w:rPr>
        <w:lastRenderedPageBreak/>
        <w:t xml:space="preserve">129 vto. </w:t>
      </w:r>
      <w:r w:rsidRPr="00F506FA">
        <w:rPr>
          <w:rFonts w:ascii="Arial" w:eastAsia="Times New Roman" w:hAnsi="Arial" w:cs="Arial"/>
          <w:sz w:val="24"/>
          <w:szCs w:val="24"/>
          <w:lang w:val="es-CO" w:eastAsia="ja-JP"/>
        </w:rPr>
        <w:t>ca).</w:t>
      </w:r>
    </w:p>
    <w:p w14:paraId="58938CE8"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2F91739A" w14:textId="77777777" w:rsidR="00F506FA" w:rsidRPr="00F506FA" w:rsidRDefault="00F506FA" w:rsidP="00F506FA">
      <w:pPr>
        <w:widowControl w:val="0"/>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val="es-CO" w:eastAsia="ja-JP"/>
        </w:rPr>
        <w:t xml:space="preserve">Seguidamente, mediante </w:t>
      </w:r>
      <w:r w:rsidRPr="00F506FA">
        <w:rPr>
          <w:rFonts w:ascii="Arial" w:eastAsia="Times New Roman" w:hAnsi="Arial" w:cs="Arial"/>
          <w:sz w:val="24"/>
          <w:szCs w:val="24"/>
          <w:lang w:eastAsia="ja-JP"/>
        </w:rPr>
        <w:t>Liquidación Oficial de Revisión nro. 162412013000014 (</w:t>
      </w:r>
      <w:proofErr w:type="spellStart"/>
      <w:r w:rsidRPr="00F506FA">
        <w:rPr>
          <w:rFonts w:ascii="Arial" w:eastAsia="Times New Roman" w:hAnsi="Arial" w:cs="Arial"/>
          <w:sz w:val="24"/>
          <w:szCs w:val="24"/>
          <w:lang w:eastAsia="ja-JP"/>
        </w:rPr>
        <w:t>ff</w:t>
      </w:r>
      <w:proofErr w:type="spellEnd"/>
      <w:r w:rsidRPr="00F506FA">
        <w:rPr>
          <w:rFonts w:ascii="Arial" w:eastAsia="Times New Roman" w:hAnsi="Arial" w:cs="Arial"/>
          <w:sz w:val="24"/>
          <w:szCs w:val="24"/>
          <w:lang w:eastAsia="ja-JP"/>
        </w:rPr>
        <w:t xml:space="preserve">. 133 a 142 ca), </w:t>
      </w:r>
      <w:r w:rsidRPr="00F506FA">
        <w:rPr>
          <w:rFonts w:ascii="Arial" w:eastAsia="Times New Roman" w:hAnsi="Arial" w:cs="Arial"/>
          <w:sz w:val="24"/>
          <w:szCs w:val="24"/>
          <w:lang w:val="es-CO" w:eastAsia="ja-JP"/>
        </w:rPr>
        <w:t>del</w:t>
      </w:r>
      <w:r w:rsidRPr="00F506FA">
        <w:rPr>
          <w:rFonts w:ascii="Arial" w:eastAsia="Times New Roman" w:hAnsi="Arial" w:cs="Arial"/>
          <w:sz w:val="24"/>
          <w:szCs w:val="24"/>
          <w:lang w:eastAsia="ja-JP"/>
        </w:rPr>
        <w:t xml:space="preserve"> 26 de febrero de 2013</w:t>
      </w:r>
      <w:r w:rsidRPr="00F506FA">
        <w:rPr>
          <w:rFonts w:ascii="Arial" w:eastAsia="Times New Roman" w:hAnsi="Arial" w:cs="Arial"/>
          <w:sz w:val="24"/>
          <w:szCs w:val="24"/>
          <w:lang w:val="es-CO" w:eastAsia="ja-JP"/>
        </w:rPr>
        <w:t xml:space="preserve">, </w:t>
      </w:r>
      <w:r w:rsidRPr="00F506FA">
        <w:rPr>
          <w:rFonts w:ascii="Arial" w:eastAsia="Times New Roman" w:hAnsi="Arial" w:cs="Arial"/>
          <w:sz w:val="24"/>
          <w:szCs w:val="24"/>
          <w:lang w:eastAsia="ja-JP"/>
        </w:rPr>
        <w:t>notificada por correo</w:t>
      </w:r>
      <w:r w:rsidRPr="00F506FA">
        <w:rPr>
          <w:rFonts w:ascii="Arial" w:eastAsia="Times New Roman" w:hAnsi="Arial" w:cs="Arial"/>
          <w:sz w:val="24"/>
          <w:szCs w:val="24"/>
          <w:lang w:val="es-CO" w:eastAsia="ja-JP"/>
        </w:rPr>
        <w:t>,</w:t>
      </w:r>
      <w:r w:rsidRPr="00F506FA">
        <w:rPr>
          <w:rFonts w:ascii="Arial" w:eastAsia="Times New Roman" w:hAnsi="Arial" w:cs="Arial"/>
          <w:sz w:val="24"/>
          <w:szCs w:val="24"/>
          <w:lang w:eastAsia="ja-JP"/>
        </w:rPr>
        <w:t xml:space="preserve"> el 28 de febrero de 2013 (f. 133 ca), </w:t>
      </w:r>
      <w:r w:rsidRPr="00F506FA">
        <w:rPr>
          <w:rFonts w:ascii="Arial" w:eastAsia="Times New Roman" w:hAnsi="Arial" w:cs="Arial"/>
          <w:sz w:val="24"/>
          <w:szCs w:val="24"/>
          <w:lang w:val="es-CO" w:eastAsia="ja-JP"/>
        </w:rPr>
        <w:t>la entidad demandada modificó la declaración del impuesto sobre la renta del año gravable 2009, mediante el sistema de renta ordinaria</w:t>
      </w:r>
      <w:r w:rsidRPr="00F506FA">
        <w:rPr>
          <w:rFonts w:ascii="Arial" w:eastAsia="Times New Roman" w:hAnsi="Arial" w:cs="Arial"/>
          <w:sz w:val="24"/>
          <w:szCs w:val="24"/>
          <w:lang w:eastAsia="ja-JP"/>
        </w:rPr>
        <w:t>.</w:t>
      </w:r>
    </w:p>
    <w:p w14:paraId="7A0CB42F"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546955BA" w14:textId="77777777" w:rsidR="00F506FA" w:rsidRPr="00F506FA" w:rsidRDefault="00F506FA" w:rsidP="00F506FA">
      <w:pPr>
        <w:widowControl w:val="0"/>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ja-JP"/>
        </w:rPr>
        <w:t>Tras haberse interpuesto el recurso de reconsideración, la Administración confirmó la liquidación oficial, a través de la Resolución 162362013000027</w:t>
      </w:r>
      <w:r w:rsidRPr="00F506FA">
        <w:rPr>
          <w:rFonts w:ascii="Arial" w:eastAsia="Times New Roman" w:hAnsi="Arial" w:cs="Arial"/>
          <w:sz w:val="24"/>
          <w:szCs w:val="24"/>
          <w:lang w:val="es-CO" w:eastAsia="ja-JP"/>
        </w:rPr>
        <w:t>,</w:t>
      </w:r>
      <w:r w:rsidRPr="00F506FA">
        <w:rPr>
          <w:rFonts w:ascii="Arial" w:eastAsia="Times New Roman" w:hAnsi="Arial" w:cs="Arial"/>
          <w:sz w:val="24"/>
          <w:szCs w:val="24"/>
          <w:lang w:eastAsia="ja-JP"/>
        </w:rPr>
        <w:t xml:space="preserve"> del 25 de octubre de 2013 (</w:t>
      </w:r>
      <w:proofErr w:type="spellStart"/>
      <w:r w:rsidRPr="00F506FA">
        <w:rPr>
          <w:rFonts w:ascii="Arial" w:eastAsia="Times New Roman" w:hAnsi="Arial" w:cs="Arial"/>
          <w:sz w:val="24"/>
          <w:szCs w:val="24"/>
          <w:lang w:eastAsia="ja-JP"/>
        </w:rPr>
        <w:t>ff</w:t>
      </w:r>
      <w:proofErr w:type="spellEnd"/>
      <w:r w:rsidRPr="00F506FA">
        <w:rPr>
          <w:rFonts w:ascii="Arial" w:eastAsia="Times New Roman" w:hAnsi="Arial" w:cs="Arial"/>
          <w:sz w:val="24"/>
          <w:szCs w:val="24"/>
          <w:lang w:eastAsia="ja-JP"/>
        </w:rPr>
        <w:t xml:space="preserve">. 151 a 156 </w:t>
      </w:r>
      <w:r w:rsidRPr="00F506FA">
        <w:rPr>
          <w:rFonts w:ascii="Arial" w:eastAsia="Times New Roman" w:hAnsi="Arial" w:cs="Arial"/>
          <w:sz w:val="24"/>
          <w:szCs w:val="24"/>
          <w:lang w:val="es-CO" w:eastAsia="ja-JP"/>
        </w:rPr>
        <w:t>ca)</w:t>
      </w:r>
      <w:r w:rsidRPr="00F506FA">
        <w:rPr>
          <w:rFonts w:ascii="Arial" w:eastAsia="Times New Roman" w:hAnsi="Arial" w:cs="Arial"/>
          <w:sz w:val="24"/>
          <w:szCs w:val="24"/>
          <w:lang w:eastAsia="ja-JP"/>
        </w:rPr>
        <w:t xml:space="preserve">, notificada personalmente el 14 de noviembre de 2013 (f. 157 vto. </w:t>
      </w:r>
      <w:r w:rsidRPr="00F506FA">
        <w:rPr>
          <w:rFonts w:ascii="Arial" w:eastAsia="Times New Roman" w:hAnsi="Arial" w:cs="Arial"/>
          <w:sz w:val="24"/>
          <w:szCs w:val="24"/>
          <w:lang w:val="es-CO" w:eastAsia="ja-JP"/>
        </w:rPr>
        <w:t>ca)</w:t>
      </w:r>
      <w:r w:rsidRPr="00F506FA">
        <w:rPr>
          <w:rFonts w:ascii="Arial" w:eastAsia="Times New Roman" w:hAnsi="Arial" w:cs="Arial"/>
          <w:sz w:val="24"/>
          <w:szCs w:val="24"/>
          <w:lang w:eastAsia="ja-JP"/>
        </w:rPr>
        <w:t>.</w:t>
      </w:r>
    </w:p>
    <w:p w14:paraId="680A94B6"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78F809A4"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5E96DEA0" w14:textId="77777777" w:rsidR="00F506FA" w:rsidRPr="00F506FA" w:rsidRDefault="00F506FA" w:rsidP="00F506FA">
      <w:pPr>
        <w:widowControl w:val="0"/>
        <w:contextualSpacing/>
        <w:jc w:val="center"/>
        <w:rPr>
          <w:rFonts w:ascii="Arial" w:eastAsia="Times New Roman" w:hAnsi="Arial" w:cs="Arial"/>
          <w:b/>
          <w:sz w:val="24"/>
          <w:szCs w:val="24"/>
          <w:lang w:eastAsia="ja-JP"/>
        </w:rPr>
      </w:pPr>
      <w:r w:rsidRPr="00F506FA">
        <w:rPr>
          <w:rFonts w:ascii="Arial" w:eastAsia="Times New Roman" w:hAnsi="Arial" w:cs="Arial"/>
          <w:b/>
          <w:sz w:val="24"/>
          <w:szCs w:val="24"/>
          <w:lang w:eastAsia="ja-JP"/>
        </w:rPr>
        <w:t>ANTECEDENTES PROCESALES</w:t>
      </w:r>
    </w:p>
    <w:p w14:paraId="5CE77850" w14:textId="77777777" w:rsidR="00F506FA" w:rsidRPr="00F506FA" w:rsidRDefault="00F506FA" w:rsidP="00F506FA">
      <w:pPr>
        <w:widowControl w:val="0"/>
        <w:contextualSpacing/>
        <w:rPr>
          <w:rFonts w:ascii="Arial" w:eastAsia="Times New Roman" w:hAnsi="Arial" w:cs="Arial"/>
          <w:sz w:val="24"/>
          <w:szCs w:val="24"/>
          <w:lang w:val="es-CO" w:eastAsia="ja-JP"/>
        </w:rPr>
      </w:pPr>
    </w:p>
    <w:p w14:paraId="36FF8D40" w14:textId="77777777" w:rsidR="00F506FA" w:rsidRPr="00F506FA" w:rsidRDefault="00F506FA" w:rsidP="00F506FA">
      <w:pPr>
        <w:widowControl w:val="0"/>
        <w:contextualSpacing/>
        <w:rPr>
          <w:rFonts w:ascii="Arial" w:eastAsia="Times New Roman" w:hAnsi="Arial" w:cs="Arial"/>
          <w:sz w:val="24"/>
          <w:szCs w:val="24"/>
          <w:lang w:eastAsia="ja-JP"/>
        </w:rPr>
      </w:pPr>
    </w:p>
    <w:p w14:paraId="04DA9137" w14:textId="77777777" w:rsidR="00F506FA" w:rsidRPr="00F506FA" w:rsidRDefault="00F506FA" w:rsidP="00F506FA">
      <w:pPr>
        <w:widowControl w:val="0"/>
        <w:contextualSpacing/>
        <w:rPr>
          <w:rFonts w:ascii="Arial" w:eastAsia="Times New Roman" w:hAnsi="Arial" w:cs="Arial"/>
          <w:sz w:val="24"/>
          <w:szCs w:val="24"/>
          <w:lang w:eastAsia="ja-JP"/>
        </w:rPr>
      </w:pPr>
      <w:r w:rsidRPr="00F506FA">
        <w:rPr>
          <w:rFonts w:ascii="Arial" w:eastAsia="Times New Roman" w:hAnsi="Arial" w:cs="Arial"/>
          <w:b/>
          <w:sz w:val="24"/>
          <w:szCs w:val="24"/>
          <w:lang w:eastAsia="ja-JP"/>
        </w:rPr>
        <w:t>Demanda</w:t>
      </w:r>
    </w:p>
    <w:p w14:paraId="5001B0F6"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6BEEC03B" w14:textId="77777777" w:rsidR="00F506FA" w:rsidRPr="00F506FA" w:rsidRDefault="00F506FA" w:rsidP="00F506FA">
      <w:pPr>
        <w:widowControl w:val="0"/>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ja-JP"/>
        </w:rPr>
        <w:t>Mediante apoderado judicial, en ejercicio del medio de control de nulidad y restablecimiento del derecho previsto en el artículo 138 del CPACA, el demandante formuló las siguientes pretensiones (</w:t>
      </w:r>
      <w:proofErr w:type="spellStart"/>
      <w:r w:rsidRPr="00F506FA">
        <w:rPr>
          <w:rFonts w:ascii="Arial" w:eastAsia="Times New Roman" w:hAnsi="Arial" w:cs="Arial"/>
          <w:sz w:val="24"/>
          <w:szCs w:val="24"/>
          <w:lang w:eastAsia="ja-JP"/>
        </w:rPr>
        <w:t>ff</w:t>
      </w:r>
      <w:proofErr w:type="spellEnd"/>
      <w:r w:rsidRPr="00F506FA">
        <w:rPr>
          <w:rFonts w:ascii="Arial" w:eastAsia="Times New Roman" w:hAnsi="Arial" w:cs="Arial"/>
          <w:sz w:val="24"/>
          <w:szCs w:val="24"/>
          <w:lang w:eastAsia="ja-JP"/>
        </w:rPr>
        <w:t>. 1 y 2):</w:t>
      </w:r>
    </w:p>
    <w:p w14:paraId="415182BB" w14:textId="77777777" w:rsidR="00F506FA" w:rsidRPr="00F506FA" w:rsidRDefault="00F506FA" w:rsidP="00F506FA">
      <w:pPr>
        <w:widowControl w:val="0"/>
        <w:overflowPunct w:val="0"/>
        <w:autoSpaceDE w:val="0"/>
        <w:autoSpaceDN w:val="0"/>
        <w:adjustRightInd w:val="0"/>
        <w:contextualSpacing/>
        <w:jc w:val="both"/>
        <w:textAlignment w:val="baseline"/>
        <w:rPr>
          <w:rFonts w:ascii="Arial" w:eastAsia="Times New Roman" w:hAnsi="Arial" w:cs="Arial"/>
          <w:sz w:val="24"/>
          <w:szCs w:val="24"/>
          <w:lang w:eastAsia="ja-JP"/>
        </w:rPr>
      </w:pPr>
    </w:p>
    <w:p w14:paraId="6F111DF7" w14:textId="77777777" w:rsidR="00F506FA" w:rsidRPr="00F506FA" w:rsidRDefault="00F506FA" w:rsidP="00F506FA">
      <w:pPr>
        <w:widowControl w:val="0"/>
        <w:tabs>
          <w:tab w:val="left" w:pos="567"/>
        </w:tabs>
        <w:overflowPunct w:val="0"/>
        <w:autoSpaceDE w:val="0"/>
        <w:autoSpaceDN w:val="0"/>
        <w:adjustRightInd w:val="0"/>
        <w:ind w:left="567"/>
        <w:contextualSpacing/>
        <w:jc w:val="both"/>
        <w:textAlignment w:val="baseline"/>
        <w:rPr>
          <w:rFonts w:ascii="Arial" w:eastAsia="Times New Roman" w:hAnsi="Arial" w:cs="Arial"/>
          <w:sz w:val="20"/>
          <w:szCs w:val="24"/>
          <w:lang w:eastAsia="ja-JP"/>
        </w:rPr>
      </w:pPr>
      <w:r w:rsidRPr="00F506FA">
        <w:rPr>
          <w:rFonts w:ascii="Arial" w:eastAsia="Times New Roman" w:hAnsi="Arial" w:cs="Arial"/>
          <w:sz w:val="20"/>
          <w:szCs w:val="24"/>
          <w:lang w:val="es-CO" w:eastAsia="ja-JP"/>
        </w:rPr>
        <w:t xml:space="preserve">Primera: Que se declare la nulidad del acto administrativo contenido en la Liquidación Oficial Renta Naturales – Revisión No 162412013000014, de fecha 26 de febrero de 2013, proferida por la doctora Martha </w:t>
      </w:r>
      <w:proofErr w:type="spellStart"/>
      <w:r w:rsidRPr="00F506FA">
        <w:rPr>
          <w:rFonts w:ascii="Arial" w:eastAsia="Times New Roman" w:hAnsi="Arial" w:cs="Arial"/>
          <w:sz w:val="20"/>
          <w:szCs w:val="24"/>
          <w:lang w:val="es-CO" w:eastAsia="ja-JP"/>
        </w:rPr>
        <w:t>Lucella</w:t>
      </w:r>
      <w:proofErr w:type="spellEnd"/>
      <w:r w:rsidRPr="00F506FA">
        <w:rPr>
          <w:rFonts w:ascii="Arial" w:eastAsia="Times New Roman" w:hAnsi="Arial" w:cs="Arial"/>
          <w:sz w:val="20"/>
          <w:szCs w:val="24"/>
          <w:lang w:val="es-CO" w:eastAsia="ja-JP"/>
        </w:rPr>
        <w:t xml:space="preserve"> Romero Pulido, jefe División de Gestión de Liquidación de la Dirección Seccional de Impuestos y Aduanas Nacionales de Pereira, mediante la cual modifica la declaración de renta año gravable 2009, No 51910050151826, formulario No 2109601070599, presentada por mi poderdante, contribuyente Ubaldo Antonio </w:t>
      </w:r>
      <w:proofErr w:type="spellStart"/>
      <w:r w:rsidRPr="00F506FA">
        <w:rPr>
          <w:rFonts w:ascii="Arial" w:eastAsia="Times New Roman" w:hAnsi="Arial" w:cs="Arial"/>
          <w:sz w:val="20"/>
          <w:szCs w:val="24"/>
          <w:lang w:val="es-CO" w:eastAsia="ja-JP"/>
        </w:rPr>
        <w:t>Betancourh</w:t>
      </w:r>
      <w:proofErr w:type="spellEnd"/>
      <w:r w:rsidRPr="00F506FA">
        <w:rPr>
          <w:rFonts w:ascii="Arial" w:eastAsia="Times New Roman" w:hAnsi="Arial" w:cs="Arial"/>
          <w:sz w:val="20"/>
          <w:szCs w:val="24"/>
          <w:lang w:val="es-CO" w:eastAsia="ja-JP"/>
        </w:rPr>
        <w:t xml:space="preserve"> Trejos, con </w:t>
      </w:r>
      <w:proofErr w:type="spellStart"/>
      <w:r w:rsidRPr="00F506FA">
        <w:rPr>
          <w:rFonts w:ascii="Arial" w:eastAsia="Times New Roman" w:hAnsi="Arial" w:cs="Arial"/>
          <w:sz w:val="20"/>
          <w:szCs w:val="24"/>
          <w:lang w:val="es-CO" w:eastAsia="ja-JP"/>
        </w:rPr>
        <w:t>Nit</w:t>
      </w:r>
      <w:proofErr w:type="spellEnd"/>
      <w:r w:rsidRPr="00F506FA">
        <w:rPr>
          <w:rFonts w:ascii="Arial" w:eastAsia="Times New Roman" w:hAnsi="Arial" w:cs="Arial"/>
          <w:sz w:val="20"/>
          <w:szCs w:val="24"/>
          <w:lang w:val="es-CO" w:eastAsia="ja-JP"/>
        </w:rPr>
        <w:t xml:space="preserve"> 4.537.624-6, determinando en consecuencia una nueva obligación impositiva y fijando sanción por inexactitud. </w:t>
      </w:r>
    </w:p>
    <w:p w14:paraId="7EB78B5B" w14:textId="77777777" w:rsidR="00F506FA" w:rsidRPr="00F506FA" w:rsidRDefault="00F506FA" w:rsidP="00F506FA">
      <w:pPr>
        <w:widowControl w:val="0"/>
        <w:tabs>
          <w:tab w:val="left" w:pos="567"/>
          <w:tab w:val="left" w:pos="1843"/>
        </w:tabs>
        <w:overflowPunct w:val="0"/>
        <w:autoSpaceDE w:val="0"/>
        <w:autoSpaceDN w:val="0"/>
        <w:adjustRightInd w:val="0"/>
        <w:ind w:left="567"/>
        <w:contextualSpacing/>
        <w:jc w:val="both"/>
        <w:textAlignment w:val="baseline"/>
        <w:rPr>
          <w:rFonts w:ascii="Arial" w:eastAsia="Times New Roman" w:hAnsi="Arial" w:cs="Arial"/>
          <w:sz w:val="20"/>
          <w:szCs w:val="24"/>
          <w:lang w:eastAsia="ja-JP"/>
        </w:rPr>
      </w:pPr>
    </w:p>
    <w:p w14:paraId="626A215C" w14:textId="77777777" w:rsidR="00F506FA" w:rsidRPr="00F506FA" w:rsidRDefault="00F506FA" w:rsidP="00F506FA">
      <w:pPr>
        <w:widowControl w:val="0"/>
        <w:tabs>
          <w:tab w:val="left" w:pos="567"/>
        </w:tabs>
        <w:overflowPunct w:val="0"/>
        <w:autoSpaceDE w:val="0"/>
        <w:autoSpaceDN w:val="0"/>
        <w:adjustRightInd w:val="0"/>
        <w:ind w:left="567"/>
        <w:contextualSpacing/>
        <w:jc w:val="both"/>
        <w:textAlignment w:val="baseline"/>
        <w:rPr>
          <w:rFonts w:ascii="Arial" w:eastAsia="Times New Roman" w:hAnsi="Arial" w:cs="Arial"/>
          <w:sz w:val="20"/>
          <w:szCs w:val="24"/>
          <w:lang w:eastAsia="ja-JP"/>
        </w:rPr>
      </w:pPr>
      <w:r w:rsidRPr="00F506FA">
        <w:rPr>
          <w:rFonts w:ascii="Arial" w:eastAsia="Times New Roman" w:hAnsi="Arial" w:cs="Arial"/>
          <w:sz w:val="20"/>
          <w:szCs w:val="24"/>
          <w:lang w:val="es-CO" w:eastAsia="ja-JP"/>
        </w:rPr>
        <w:t xml:space="preserve">Segunda: De igual manera se declare la nulidad del acto administrativo contenido en la Resolución que resuelve el recurso de reconsideración No 162362013000027 de fecha 25 de octubre de 2013, notificada el 14 de noviembre de 2013, confirmando la Liquidación Oficial de Revisión No 162412013000014, de fecha 26 de febrero de 2013, proferida por la doctora Martha </w:t>
      </w:r>
      <w:proofErr w:type="spellStart"/>
      <w:r w:rsidRPr="00F506FA">
        <w:rPr>
          <w:rFonts w:ascii="Arial" w:eastAsia="Times New Roman" w:hAnsi="Arial" w:cs="Arial"/>
          <w:sz w:val="20"/>
          <w:szCs w:val="24"/>
          <w:lang w:val="es-CO" w:eastAsia="ja-JP"/>
        </w:rPr>
        <w:t>Lucella</w:t>
      </w:r>
      <w:proofErr w:type="spellEnd"/>
      <w:r w:rsidRPr="00F506FA">
        <w:rPr>
          <w:rFonts w:ascii="Arial" w:eastAsia="Times New Roman" w:hAnsi="Arial" w:cs="Arial"/>
          <w:sz w:val="20"/>
          <w:szCs w:val="24"/>
          <w:lang w:val="es-CO" w:eastAsia="ja-JP"/>
        </w:rPr>
        <w:t xml:space="preserve"> Romero Pulido, jefe División de Gestión de Liquidación de la Dirección Seccional de Impuestos y Aduanas Nacionales de Pereira, mediante la cual confirma en todas sus partes La Liquidación Oficial de Revisión No 162412013000014, de fecha 26 de febrero de 2013.</w:t>
      </w:r>
    </w:p>
    <w:p w14:paraId="1C8EB7A4" w14:textId="77777777" w:rsidR="00F506FA" w:rsidRPr="00F506FA" w:rsidRDefault="00F506FA" w:rsidP="00F506FA">
      <w:pPr>
        <w:widowControl w:val="0"/>
        <w:tabs>
          <w:tab w:val="left" w:pos="567"/>
          <w:tab w:val="left" w:pos="1843"/>
        </w:tabs>
        <w:overflowPunct w:val="0"/>
        <w:autoSpaceDE w:val="0"/>
        <w:autoSpaceDN w:val="0"/>
        <w:adjustRightInd w:val="0"/>
        <w:ind w:left="567"/>
        <w:contextualSpacing/>
        <w:jc w:val="both"/>
        <w:textAlignment w:val="baseline"/>
        <w:rPr>
          <w:rFonts w:ascii="Arial" w:eastAsia="Times New Roman" w:hAnsi="Arial" w:cs="Arial"/>
          <w:sz w:val="20"/>
          <w:szCs w:val="24"/>
          <w:lang w:eastAsia="ja-JP"/>
        </w:rPr>
      </w:pPr>
    </w:p>
    <w:p w14:paraId="2A27D3AA" w14:textId="77777777" w:rsidR="00F506FA" w:rsidRPr="00F506FA" w:rsidRDefault="00F506FA" w:rsidP="00F506FA">
      <w:pPr>
        <w:widowControl w:val="0"/>
        <w:tabs>
          <w:tab w:val="left" w:pos="567"/>
          <w:tab w:val="left" w:pos="1843"/>
        </w:tabs>
        <w:overflowPunct w:val="0"/>
        <w:autoSpaceDE w:val="0"/>
        <w:autoSpaceDN w:val="0"/>
        <w:adjustRightInd w:val="0"/>
        <w:ind w:left="567"/>
        <w:contextualSpacing/>
        <w:jc w:val="both"/>
        <w:textAlignment w:val="baseline"/>
        <w:rPr>
          <w:rFonts w:ascii="Arial" w:eastAsia="Times New Roman" w:hAnsi="Arial" w:cs="Arial"/>
          <w:sz w:val="20"/>
          <w:szCs w:val="24"/>
          <w:lang w:eastAsia="ja-JP"/>
        </w:rPr>
      </w:pPr>
      <w:r w:rsidRPr="00F506FA">
        <w:rPr>
          <w:rFonts w:ascii="Arial" w:eastAsia="Times New Roman" w:hAnsi="Arial" w:cs="Arial"/>
          <w:sz w:val="20"/>
          <w:szCs w:val="24"/>
          <w:lang w:val="es-CO" w:eastAsia="ja-JP"/>
        </w:rPr>
        <w:t xml:space="preserve">Tercera: Se decrete de oficio la firmeza de la declaración de renta del año gravable de 2009, de mi poderdante, señor Ubaldo Antonio </w:t>
      </w:r>
      <w:proofErr w:type="spellStart"/>
      <w:r w:rsidRPr="00F506FA">
        <w:rPr>
          <w:rFonts w:ascii="Arial" w:eastAsia="Times New Roman" w:hAnsi="Arial" w:cs="Arial"/>
          <w:sz w:val="20"/>
          <w:szCs w:val="24"/>
          <w:lang w:val="es-CO" w:eastAsia="ja-JP"/>
        </w:rPr>
        <w:t>Betancourh</w:t>
      </w:r>
      <w:proofErr w:type="spellEnd"/>
      <w:r w:rsidRPr="00F506FA">
        <w:rPr>
          <w:rFonts w:ascii="Arial" w:eastAsia="Times New Roman" w:hAnsi="Arial" w:cs="Arial"/>
          <w:sz w:val="20"/>
          <w:szCs w:val="24"/>
          <w:lang w:val="es-CO" w:eastAsia="ja-JP"/>
        </w:rPr>
        <w:t xml:space="preserve"> Trejos, </w:t>
      </w:r>
      <w:proofErr w:type="spellStart"/>
      <w:r w:rsidRPr="00F506FA">
        <w:rPr>
          <w:rFonts w:ascii="Arial" w:eastAsia="Times New Roman" w:hAnsi="Arial" w:cs="Arial"/>
          <w:sz w:val="20"/>
          <w:szCs w:val="24"/>
          <w:lang w:val="es-CO" w:eastAsia="ja-JP"/>
        </w:rPr>
        <w:t>Nit</w:t>
      </w:r>
      <w:proofErr w:type="spellEnd"/>
      <w:r w:rsidRPr="00F506FA">
        <w:rPr>
          <w:rFonts w:ascii="Arial" w:eastAsia="Times New Roman" w:hAnsi="Arial" w:cs="Arial"/>
          <w:sz w:val="20"/>
          <w:szCs w:val="24"/>
          <w:lang w:val="es-CO" w:eastAsia="ja-JP"/>
        </w:rPr>
        <w:t xml:space="preserve"> 4.537.624-6.</w:t>
      </w:r>
    </w:p>
    <w:p w14:paraId="54EFE65E" w14:textId="77777777" w:rsidR="00F506FA" w:rsidRPr="00F506FA" w:rsidRDefault="00F506FA" w:rsidP="00F506FA">
      <w:pPr>
        <w:widowControl w:val="0"/>
        <w:tabs>
          <w:tab w:val="left" w:pos="567"/>
          <w:tab w:val="left" w:pos="1843"/>
        </w:tabs>
        <w:overflowPunct w:val="0"/>
        <w:autoSpaceDE w:val="0"/>
        <w:autoSpaceDN w:val="0"/>
        <w:adjustRightInd w:val="0"/>
        <w:ind w:left="567"/>
        <w:contextualSpacing/>
        <w:jc w:val="both"/>
        <w:textAlignment w:val="baseline"/>
        <w:rPr>
          <w:rFonts w:ascii="Arial" w:eastAsia="Times New Roman" w:hAnsi="Arial" w:cs="Arial"/>
          <w:sz w:val="20"/>
          <w:szCs w:val="24"/>
          <w:lang w:eastAsia="ja-JP"/>
        </w:rPr>
      </w:pPr>
    </w:p>
    <w:p w14:paraId="1265742D" w14:textId="77777777" w:rsidR="00F506FA" w:rsidRPr="00F506FA" w:rsidRDefault="00F506FA" w:rsidP="00F506FA">
      <w:pPr>
        <w:widowControl w:val="0"/>
        <w:tabs>
          <w:tab w:val="left" w:pos="567"/>
          <w:tab w:val="left" w:pos="1843"/>
        </w:tabs>
        <w:overflowPunct w:val="0"/>
        <w:autoSpaceDE w:val="0"/>
        <w:autoSpaceDN w:val="0"/>
        <w:adjustRightInd w:val="0"/>
        <w:ind w:left="567"/>
        <w:contextualSpacing/>
        <w:jc w:val="both"/>
        <w:textAlignment w:val="baseline"/>
        <w:rPr>
          <w:rFonts w:ascii="Arial" w:eastAsia="Times New Roman" w:hAnsi="Arial" w:cs="Arial"/>
          <w:sz w:val="20"/>
          <w:szCs w:val="24"/>
          <w:lang w:eastAsia="ja-JP"/>
        </w:rPr>
      </w:pPr>
      <w:r w:rsidRPr="00F506FA">
        <w:rPr>
          <w:rFonts w:ascii="Arial" w:eastAsia="Times New Roman" w:hAnsi="Arial" w:cs="Arial"/>
          <w:sz w:val="20"/>
          <w:szCs w:val="24"/>
          <w:lang w:val="es-CO" w:eastAsia="ja-JP"/>
        </w:rPr>
        <w:t>Cuarto: En consecuencia y a título de restablecimiento del derecho que se declare, que mi poderdante no adeuda suma alguna</w:t>
      </w:r>
      <w:r w:rsidRPr="00F506FA">
        <w:rPr>
          <w:rFonts w:ascii="Arial" w:eastAsia="Times New Roman" w:hAnsi="Arial" w:cs="Arial"/>
          <w:sz w:val="20"/>
          <w:szCs w:val="24"/>
          <w:lang w:eastAsia="ja-JP"/>
        </w:rPr>
        <w:t>.</w:t>
      </w:r>
    </w:p>
    <w:p w14:paraId="59269586" w14:textId="77777777" w:rsidR="00F506FA" w:rsidRPr="00F506FA" w:rsidRDefault="00F506FA" w:rsidP="00F506FA">
      <w:pPr>
        <w:widowControl w:val="0"/>
        <w:overflowPunct w:val="0"/>
        <w:autoSpaceDE w:val="0"/>
        <w:autoSpaceDN w:val="0"/>
        <w:adjustRightInd w:val="0"/>
        <w:contextualSpacing/>
        <w:jc w:val="both"/>
        <w:textAlignment w:val="baseline"/>
        <w:rPr>
          <w:rFonts w:ascii="Arial" w:eastAsia="Times New Roman" w:hAnsi="Arial" w:cs="Arial"/>
          <w:sz w:val="24"/>
          <w:szCs w:val="24"/>
          <w:lang w:eastAsia="ja-JP"/>
        </w:rPr>
      </w:pPr>
    </w:p>
    <w:p w14:paraId="384311D8" w14:textId="77777777" w:rsidR="00F506FA" w:rsidRPr="00F506FA" w:rsidRDefault="00F506FA" w:rsidP="00F506FA">
      <w:pPr>
        <w:widowControl w:val="0"/>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ja-JP"/>
        </w:rPr>
        <w:t>A estos efectos, invocó como normas vulneradas los artículos 29, 95 numeral 9</w:t>
      </w:r>
      <w:r w:rsidRPr="00F506FA">
        <w:rPr>
          <w:rFonts w:ascii="Arial" w:eastAsia="Times New Roman" w:hAnsi="Arial" w:cs="Arial"/>
          <w:sz w:val="24"/>
          <w:szCs w:val="24"/>
          <w:lang w:val="es-CO" w:eastAsia="ja-JP"/>
        </w:rPr>
        <w:t>.</w:t>
      </w:r>
      <w:r w:rsidRPr="00F506FA">
        <w:rPr>
          <w:rFonts w:ascii="Arial" w:eastAsia="Times New Roman" w:hAnsi="Arial" w:cs="Arial"/>
          <w:sz w:val="24"/>
          <w:szCs w:val="24"/>
          <w:lang w:eastAsia="ja-JP"/>
        </w:rPr>
        <w:t>º y 363 de la Constitución, y 703, 704, 710 y 730 del Estatuto Tributario (ET).</w:t>
      </w:r>
    </w:p>
    <w:p w14:paraId="00104EFC" w14:textId="77777777" w:rsidR="00F506FA" w:rsidRPr="00F506FA" w:rsidRDefault="00F506FA" w:rsidP="00F506FA">
      <w:pPr>
        <w:widowControl w:val="0"/>
        <w:contextualSpacing/>
        <w:jc w:val="both"/>
        <w:rPr>
          <w:rFonts w:ascii="Arial" w:eastAsia="Times New Roman" w:hAnsi="Arial" w:cs="Arial"/>
          <w:color w:val="002060"/>
          <w:sz w:val="24"/>
          <w:szCs w:val="24"/>
          <w:highlight w:val="yellow"/>
          <w:lang w:eastAsia="ja-JP"/>
        </w:rPr>
      </w:pPr>
    </w:p>
    <w:p w14:paraId="0CB2BFEA" w14:textId="77777777" w:rsidR="00F506FA" w:rsidRPr="00F506FA" w:rsidRDefault="00F506FA" w:rsidP="00F506FA">
      <w:pPr>
        <w:jc w:val="both"/>
        <w:rPr>
          <w:rFonts w:ascii="Arial" w:eastAsia="Arial" w:hAnsi="Arial" w:cs="Arial"/>
          <w:sz w:val="24"/>
          <w:szCs w:val="24"/>
          <w:lang w:val="es-CO" w:eastAsia="es-ES_tradnl"/>
        </w:rPr>
      </w:pPr>
      <w:r w:rsidRPr="00F506FA">
        <w:rPr>
          <w:rFonts w:ascii="Arial" w:eastAsia="Arial" w:hAnsi="Arial" w:cs="Arial"/>
          <w:sz w:val="24"/>
          <w:szCs w:val="24"/>
          <w:lang w:val="es-CO" w:eastAsia="es-ES_tradnl"/>
        </w:rPr>
        <w:t>El concepto de la violación se sintetiza así:</w:t>
      </w:r>
    </w:p>
    <w:p w14:paraId="4079277C" w14:textId="77777777" w:rsidR="00F506FA" w:rsidRPr="00F506FA" w:rsidRDefault="00F506FA" w:rsidP="00F506FA">
      <w:pPr>
        <w:widowControl w:val="0"/>
        <w:contextualSpacing/>
        <w:jc w:val="both"/>
        <w:rPr>
          <w:rFonts w:ascii="Arial" w:eastAsia="Times New Roman" w:hAnsi="Arial" w:cs="Arial"/>
          <w:color w:val="002060"/>
          <w:sz w:val="24"/>
          <w:szCs w:val="24"/>
          <w:highlight w:val="yellow"/>
          <w:lang w:eastAsia="ja-JP"/>
        </w:rPr>
      </w:pPr>
    </w:p>
    <w:p w14:paraId="02EC9F61" w14:textId="77777777" w:rsidR="00F506FA" w:rsidRPr="00F506FA" w:rsidRDefault="00F506FA" w:rsidP="00F506FA">
      <w:pPr>
        <w:widowControl w:val="0"/>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ja-JP"/>
        </w:rPr>
        <w:t xml:space="preserve">Consideró que se vulneró el debido proceso (art. 29 de la Constitución) en el trámite de la notificación del requerimiento especial, debido a que, a pesar de que la DIAN envió la notificación por correo a la dirección registrada en el RUT, la empresa de mensajería certificó que el correo fue devuelto por la causal </w:t>
      </w:r>
      <w:r w:rsidRPr="00F506FA">
        <w:rPr>
          <w:rFonts w:ascii="Arial" w:eastAsia="Times New Roman" w:hAnsi="Arial" w:cs="Arial"/>
          <w:i/>
          <w:sz w:val="24"/>
          <w:szCs w:val="24"/>
          <w:lang w:eastAsia="ja-JP"/>
        </w:rPr>
        <w:t xml:space="preserve">«se trasladó». </w:t>
      </w:r>
      <w:r w:rsidRPr="00F506FA">
        <w:rPr>
          <w:rFonts w:ascii="Arial" w:eastAsia="Times New Roman" w:hAnsi="Arial" w:cs="Arial"/>
          <w:sz w:val="24"/>
          <w:szCs w:val="24"/>
          <w:lang w:eastAsia="ja-JP"/>
        </w:rPr>
        <w:t>A este respecto, el actor expresó que no se trasladó de ese inmueble y que, de hecho, esa dirección de notificación ya había sido empleada por la Administración en anteriores notificaciones, así que la causal de devolución no se acompasó con la realidad.</w:t>
      </w:r>
    </w:p>
    <w:p w14:paraId="4AAAF9A5"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1C380BA2" w14:textId="77777777" w:rsidR="00F506FA" w:rsidRPr="00F506FA" w:rsidRDefault="00F506FA" w:rsidP="00F506FA">
      <w:pPr>
        <w:widowControl w:val="0"/>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ja-JP"/>
        </w:rPr>
        <w:t>Advirtió que, si bien el local al que se envió la mentada notificación fue dividido, lo cierto es que el demandante continuó ocupando el establecimiento, de tal forma que resultaba inexplicable que el correo de notificación no pudiera ser entregado.</w:t>
      </w:r>
    </w:p>
    <w:p w14:paraId="2D23046B"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336D4A0C" w14:textId="77777777" w:rsidR="00F506FA" w:rsidRPr="00F506FA" w:rsidRDefault="00F506FA" w:rsidP="00F506FA">
      <w:pPr>
        <w:widowControl w:val="0"/>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ja-JP"/>
        </w:rPr>
        <w:t>En ese orden de ideas, estimó que la Administración no estaba habilitada para notificar el requerimiento especial mediante aviso y que, por cuenta de ello, dicho acto fue indebidamente notificado y eso aparejaba la causal de nulidad del artículo 730 del ET.</w:t>
      </w:r>
    </w:p>
    <w:p w14:paraId="02BE8BA6"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63001840"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ja-JP"/>
        </w:rPr>
        <w:t xml:space="preserve">Por último, solicitó que la Administración valorara la actuación del contribuyente con observancia del espíritu de justicia y de los artículos 13 y 83 superiores, a efectos de que lo exculpara de la sanción por inexactitud. </w:t>
      </w:r>
    </w:p>
    <w:p w14:paraId="15AF2AE4" w14:textId="77777777" w:rsidR="00F506FA" w:rsidRPr="00F506FA" w:rsidRDefault="00F506FA" w:rsidP="00F506FA">
      <w:pPr>
        <w:widowControl w:val="0"/>
        <w:contextualSpacing/>
        <w:rPr>
          <w:rFonts w:ascii="Arial" w:eastAsia="Times New Roman" w:hAnsi="Arial" w:cs="Arial"/>
          <w:sz w:val="24"/>
          <w:szCs w:val="24"/>
          <w:lang w:eastAsia="ja-JP"/>
        </w:rPr>
      </w:pPr>
    </w:p>
    <w:p w14:paraId="7C0D3CEC" w14:textId="77777777" w:rsidR="00F506FA" w:rsidRPr="00F506FA" w:rsidRDefault="00F506FA" w:rsidP="00F506FA">
      <w:pPr>
        <w:widowControl w:val="0"/>
        <w:contextualSpacing/>
        <w:rPr>
          <w:rFonts w:ascii="Arial" w:eastAsia="Times New Roman" w:hAnsi="Arial" w:cs="Arial"/>
          <w:sz w:val="24"/>
          <w:szCs w:val="24"/>
          <w:lang w:eastAsia="ja-JP"/>
        </w:rPr>
      </w:pPr>
      <w:r w:rsidRPr="00F506FA">
        <w:rPr>
          <w:rFonts w:ascii="Arial" w:eastAsia="Times New Roman" w:hAnsi="Arial" w:cs="Arial"/>
          <w:b/>
          <w:sz w:val="24"/>
          <w:szCs w:val="24"/>
          <w:lang w:eastAsia="ja-JP"/>
        </w:rPr>
        <w:t>Contestación de la demanda</w:t>
      </w:r>
    </w:p>
    <w:p w14:paraId="22E7309B"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1A40825A" w14:textId="77777777" w:rsidR="00F506FA" w:rsidRPr="00F506FA" w:rsidRDefault="00F506FA" w:rsidP="00F506FA">
      <w:pPr>
        <w:widowControl w:val="0"/>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ja-JP"/>
        </w:rPr>
        <w:t>La DIAN se opuso a las pretensiones de la demanda en los siguientes términos (</w:t>
      </w:r>
      <w:proofErr w:type="spellStart"/>
      <w:r w:rsidRPr="00F506FA">
        <w:rPr>
          <w:rFonts w:ascii="Arial" w:eastAsia="Times New Roman" w:hAnsi="Arial" w:cs="Arial"/>
          <w:sz w:val="24"/>
          <w:szCs w:val="24"/>
          <w:lang w:eastAsia="ja-JP"/>
        </w:rPr>
        <w:t>ff</w:t>
      </w:r>
      <w:proofErr w:type="spellEnd"/>
      <w:r w:rsidRPr="00F506FA">
        <w:rPr>
          <w:rFonts w:ascii="Arial" w:eastAsia="Times New Roman" w:hAnsi="Arial" w:cs="Arial"/>
          <w:sz w:val="24"/>
          <w:szCs w:val="24"/>
          <w:lang w:eastAsia="ja-JP"/>
        </w:rPr>
        <w:t>. 71 a 81):</w:t>
      </w:r>
    </w:p>
    <w:p w14:paraId="37D57A95"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13CC6F56" w14:textId="77777777" w:rsidR="00F506FA" w:rsidRPr="00F506FA" w:rsidRDefault="00F506FA" w:rsidP="00F506FA">
      <w:pPr>
        <w:widowControl w:val="0"/>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ja-JP"/>
        </w:rPr>
        <w:t>Manifestó que, en sede administrativa, el contribuyente fundamentó su inconformidad sobre la falta de notificación del requerimiento especial sin desvirtuar las demás glosas, por lo que no agotó la vía gubernativa respecto de las modificaciones determinadas en la Liquidación Oficial de Revisión nro. 162412013000014, del 26 de febrero de 2013.</w:t>
      </w:r>
    </w:p>
    <w:p w14:paraId="24D7FB7A" w14:textId="77777777" w:rsidR="00F506FA" w:rsidRPr="00F506FA" w:rsidRDefault="00F506FA" w:rsidP="00F506FA">
      <w:pPr>
        <w:widowControl w:val="0"/>
        <w:contextualSpacing/>
        <w:jc w:val="both"/>
        <w:rPr>
          <w:rFonts w:ascii="Arial" w:eastAsia="Times New Roman" w:hAnsi="Arial" w:cs="Arial"/>
          <w:color w:val="002060"/>
          <w:sz w:val="24"/>
          <w:szCs w:val="24"/>
          <w:lang w:eastAsia="ja-JP"/>
        </w:rPr>
      </w:pPr>
    </w:p>
    <w:p w14:paraId="0CD74ADE" w14:textId="77777777" w:rsidR="00F506FA" w:rsidRPr="00F506FA" w:rsidRDefault="00F506FA" w:rsidP="00F506FA">
      <w:pPr>
        <w:widowControl w:val="0"/>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ja-JP"/>
        </w:rPr>
        <w:t xml:space="preserve">En torno a la notificación del requerimiento especial, expresó que, de acuerdo con los artículos 563 a 570 del ET, las notificaciones por correo se surten en la última dirección informada por el contribuyente en el RUT. En caso de que </w:t>
      </w:r>
      <w:r w:rsidRPr="00F506FA">
        <w:rPr>
          <w:rFonts w:ascii="Arial" w:eastAsia="Times New Roman" w:hAnsi="Arial" w:cs="Arial"/>
          <w:sz w:val="24"/>
          <w:szCs w:val="24"/>
          <w:lang w:eastAsia="ja-JP"/>
        </w:rPr>
        <w:lastRenderedPageBreak/>
        <w:t>el contribuyente no registre dirección de notificación, la Administración deberá verificar las fuentes de información a que alude el artículo 568 del ET.</w:t>
      </w:r>
    </w:p>
    <w:p w14:paraId="3A5FEE6E"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0D4ACC41" w14:textId="77777777" w:rsidR="00F506FA" w:rsidRPr="00F506FA" w:rsidRDefault="00F506FA" w:rsidP="00F506FA">
      <w:pPr>
        <w:widowControl w:val="0"/>
        <w:contextualSpacing/>
        <w:jc w:val="both"/>
        <w:rPr>
          <w:rFonts w:ascii="Arial" w:eastAsia="Times New Roman" w:hAnsi="Arial" w:cs="Arial"/>
          <w:sz w:val="24"/>
          <w:szCs w:val="24"/>
          <w:lang w:val="es-CO" w:eastAsia="ja-JP"/>
        </w:rPr>
      </w:pPr>
      <w:r w:rsidRPr="00F506FA">
        <w:rPr>
          <w:rFonts w:ascii="Arial" w:eastAsia="Times New Roman" w:hAnsi="Arial" w:cs="Arial"/>
          <w:sz w:val="24"/>
          <w:szCs w:val="24"/>
          <w:lang w:eastAsia="ja-JP"/>
        </w:rPr>
        <w:t xml:space="preserve">Igualmente, aclaró que, según el artículo 568 </w:t>
      </w:r>
      <w:r w:rsidRPr="00F506FA">
        <w:rPr>
          <w:rFonts w:ascii="Arial" w:eastAsia="Times New Roman" w:hAnsi="Arial" w:cs="Arial"/>
          <w:i/>
          <w:sz w:val="24"/>
          <w:szCs w:val="24"/>
          <w:lang w:eastAsia="ja-JP"/>
        </w:rPr>
        <w:t>ibidem</w:t>
      </w:r>
      <w:r w:rsidRPr="00F506FA">
        <w:rPr>
          <w:rFonts w:ascii="Arial" w:eastAsia="Times New Roman" w:hAnsi="Arial" w:cs="Arial"/>
          <w:sz w:val="24"/>
          <w:szCs w:val="24"/>
          <w:lang w:eastAsia="ja-JP"/>
        </w:rPr>
        <w:t>, la Administración está facultada para notificar mediante aviso en el portal web de la DIAN, en caso de que el correo de notificación sea devuelto por cualquier razón.</w:t>
      </w:r>
    </w:p>
    <w:p w14:paraId="098A885F"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229E652D" w14:textId="77777777" w:rsidR="00F506FA" w:rsidRPr="00F506FA" w:rsidRDefault="00F506FA" w:rsidP="00F506FA">
      <w:pPr>
        <w:widowControl w:val="0"/>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ja-JP"/>
        </w:rPr>
        <w:t>De acuerdo con lo anterior, puntualizó que, el 27 de agosto de 2010, el demandante informó en el RUT la dirección carrera 16 # 43-42, barrio San Fernando, Dosquebradas, Risaralda (</w:t>
      </w:r>
      <w:proofErr w:type="spellStart"/>
      <w:r w:rsidRPr="00F506FA">
        <w:rPr>
          <w:rFonts w:ascii="Arial" w:eastAsia="Times New Roman" w:hAnsi="Arial" w:cs="Arial"/>
          <w:sz w:val="24"/>
          <w:szCs w:val="24"/>
          <w:lang w:eastAsia="ja-JP"/>
        </w:rPr>
        <w:t>ff</w:t>
      </w:r>
      <w:proofErr w:type="spellEnd"/>
      <w:r w:rsidRPr="00F506FA">
        <w:rPr>
          <w:rFonts w:ascii="Arial" w:eastAsia="Times New Roman" w:hAnsi="Arial" w:cs="Arial"/>
          <w:sz w:val="24"/>
          <w:szCs w:val="24"/>
          <w:lang w:eastAsia="ja-JP"/>
        </w:rPr>
        <w:t xml:space="preserve">. 4, 148 y 149 </w:t>
      </w:r>
      <w:r w:rsidRPr="00F506FA">
        <w:rPr>
          <w:rFonts w:ascii="Arial" w:eastAsia="Times New Roman" w:hAnsi="Arial" w:cs="Arial"/>
          <w:sz w:val="24"/>
          <w:szCs w:val="24"/>
          <w:lang w:val="es-CO" w:eastAsia="ja-JP"/>
        </w:rPr>
        <w:t>ca)</w:t>
      </w:r>
      <w:r w:rsidRPr="00F506FA">
        <w:rPr>
          <w:rFonts w:ascii="Arial" w:eastAsia="Times New Roman" w:hAnsi="Arial" w:cs="Arial"/>
          <w:sz w:val="24"/>
          <w:szCs w:val="24"/>
          <w:lang w:eastAsia="ja-JP"/>
        </w:rPr>
        <w:t>.</w:t>
      </w:r>
      <w:r w:rsidRPr="00F506FA">
        <w:rPr>
          <w:rFonts w:ascii="Arial" w:eastAsia="Times New Roman" w:hAnsi="Arial" w:cs="Arial"/>
          <w:color w:val="002060"/>
          <w:sz w:val="24"/>
          <w:szCs w:val="24"/>
          <w:lang w:eastAsia="ja-JP"/>
        </w:rPr>
        <w:t xml:space="preserve"> </w:t>
      </w:r>
      <w:r w:rsidRPr="00F506FA">
        <w:rPr>
          <w:rFonts w:ascii="Arial" w:eastAsia="Times New Roman" w:hAnsi="Arial" w:cs="Arial"/>
          <w:sz w:val="24"/>
          <w:szCs w:val="24"/>
          <w:lang w:eastAsia="ja-JP"/>
        </w:rPr>
        <w:t xml:space="preserve">Esa dirección fue ratificada por el contribuyente en distintos escritos dirigidos a la Administración en el curso de la actuación tributaria. </w:t>
      </w:r>
    </w:p>
    <w:p w14:paraId="319C3FD2"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52493846" w14:textId="77777777" w:rsidR="00F506FA" w:rsidRPr="00F506FA" w:rsidRDefault="00F506FA" w:rsidP="00F506FA">
      <w:pPr>
        <w:widowControl w:val="0"/>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ja-JP"/>
        </w:rPr>
        <w:t>Que, el 01 de junio de 2012, fue introducido al correo para notificación Requerimiento Especial nro. 162382012000043, del 31 de mayo de 2012, y dicho acto se remitió a la dirección suministrada en el RUT, la cual coincide con la informada en escritos presentados por el contribuyente, tal como consta en la guía de Servientrega nro. 1057675015.</w:t>
      </w:r>
    </w:p>
    <w:p w14:paraId="5E00BF3A" w14:textId="77777777" w:rsidR="00F506FA" w:rsidRPr="00F506FA" w:rsidRDefault="00F506FA" w:rsidP="00F506FA">
      <w:pPr>
        <w:widowControl w:val="0"/>
        <w:contextualSpacing/>
        <w:jc w:val="both"/>
        <w:rPr>
          <w:rFonts w:ascii="Arial" w:eastAsia="Times New Roman" w:hAnsi="Arial" w:cs="Arial"/>
          <w:color w:val="002060"/>
          <w:sz w:val="24"/>
          <w:szCs w:val="24"/>
          <w:lang w:eastAsia="ja-JP"/>
        </w:rPr>
      </w:pPr>
    </w:p>
    <w:p w14:paraId="5DB50031" w14:textId="77777777" w:rsidR="00F506FA" w:rsidRPr="00F506FA" w:rsidRDefault="00F506FA" w:rsidP="00F506FA">
      <w:pPr>
        <w:widowControl w:val="0"/>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ja-JP"/>
        </w:rPr>
        <w:t>Aseguró que el anterior correo de notificación fue devuelto por la causal nro. 5, «</w:t>
      </w:r>
      <w:r w:rsidRPr="00F506FA">
        <w:rPr>
          <w:rFonts w:ascii="Arial" w:eastAsia="Times New Roman" w:hAnsi="Arial" w:cs="Arial"/>
          <w:i/>
          <w:sz w:val="24"/>
          <w:szCs w:val="24"/>
          <w:lang w:eastAsia="ja-JP"/>
        </w:rPr>
        <w:t>se trasladó</w:t>
      </w:r>
      <w:r w:rsidRPr="00F506FA">
        <w:rPr>
          <w:rFonts w:ascii="Arial" w:eastAsia="Times New Roman" w:hAnsi="Arial" w:cs="Arial"/>
          <w:sz w:val="24"/>
          <w:szCs w:val="24"/>
          <w:lang w:eastAsia="ja-JP"/>
        </w:rPr>
        <w:t xml:space="preserve">», según certificación expedida por Servientrega (f. 103), ante lo cual, previa verificación de la dirección, se procedió a notificar por aviso, conforme a lo dispuesto en el artículo 568 del ET. </w:t>
      </w:r>
    </w:p>
    <w:p w14:paraId="03D535C4"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257C4B24" w14:textId="77777777" w:rsidR="00F506FA" w:rsidRPr="00F506FA" w:rsidRDefault="00F506FA" w:rsidP="00F506FA">
      <w:pPr>
        <w:widowControl w:val="0"/>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ja-JP"/>
        </w:rPr>
        <w:t>Hizo énfasis en que la dirección reportada en el RUT corresponde a la registrada en las actualizaciones que se informaron el 27 de agosto de 2010 y el 29 de agosto de 2012, por lo que desde el inicio de la investigación (05 de septiembre de 2011), hasta la expedición del requerimiento especial (31 de mayo de 2012), la dirección vigente era la carrera 16 # 43 – 42, barrio San Fernando, de la ciudad de Dosquebradas (Risaralda).</w:t>
      </w:r>
    </w:p>
    <w:p w14:paraId="2C5B5AA1"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47B08EF5" w14:textId="77777777" w:rsidR="00F506FA" w:rsidRPr="00F506FA" w:rsidRDefault="00F506FA" w:rsidP="00F506FA">
      <w:pPr>
        <w:widowControl w:val="0"/>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ja-JP"/>
        </w:rPr>
        <w:t>Como no fue posible surtir la notificación por correo del requerimiento especial, se agotó el procedimiento de la notificación por aviso publicado en la página web de la DIAN.</w:t>
      </w:r>
    </w:p>
    <w:p w14:paraId="5B6916E2"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699FB9AF" w14:textId="77777777" w:rsidR="00F506FA" w:rsidRPr="00F506FA" w:rsidRDefault="00F506FA" w:rsidP="00F506FA">
      <w:pPr>
        <w:widowControl w:val="0"/>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ja-JP"/>
        </w:rPr>
        <w:t xml:space="preserve">Por otra parte, afirmó que no se dio la causal de nulidad prevista en el ordinal segundo del artículo 730 del ET, toda vez que el requerimiento especial se notificó dentro de los dos años contados a partir del 6 de agosto de 2010, fecha en la que le correspondía al actor presentar la declaración de renta, según el Decreto 4929, del 17 de diciembre de 2009, así que no hubo firmeza de la declaración privada. </w:t>
      </w:r>
    </w:p>
    <w:p w14:paraId="2FA369C2"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2B1D02A2" w14:textId="77777777" w:rsidR="00F506FA" w:rsidRPr="00F506FA" w:rsidRDefault="00F506FA" w:rsidP="00F506FA">
      <w:pPr>
        <w:widowControl w:val="0"/>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ja-JP"/>
        </w:rPr>
        <w:t xml:space="preserve">De igual forma, señaló que la liquidación oficial de revisión fue expedida dentro </w:t>
      </w:r>
      <w:r w:rsidRPr="00F506FA">
        <w:rPr>
          <w:rFonts w:ascii="Arial" w:eastAsia="Times New Roman" w:hAnsi="Arial" w:cs="Arial"/>
          <w:sz w:val="24"/>
          <w:szCs w:val="24"/>
          <w:lang w:eastAsia="ja-JP"/>
        </w:rPr>
        <w:lastRenderedPageBreak/>
        <w:t xml:space="preserve">de los 6 meses siguientes a la fecha de vencimiento del término para dar respuesta al requerimiento especial, conforme al artículo 710 </w:t>
      </w:r>
      <w:r w:rsidRPr="00F506FA">
        <w:rPr>
          <w:rFonts w:ascii="Arial" w:eastAsia="Times New Roman" w:hAnsi="Arial" w:cs="Arial"/>
          <w:i/>
          <w:sz w:val="24"/>
          <w:szCs w:val="24"/>
          <w:lang w:eastAsia="ja-JP"/>
        </w:rPr>
        <w:t>ídem</w:t>
      </w:r>
      <w:r w:rsidRPr="00F506FA">
        <w:rPr>
          <w:rFonts w:ascii="Arial" w:eastAsia="Times New Roman" w:hAnsi="Arial" w:cs="Arial"/>
          <w:sz w:val="24"/>
          <w:szCs w:val="24"/>
          <w:lang w:eastAsia="ja-JP"/>
        </w:rPr>
        <w:t>.</w:t>
      </w:r>
    </w:p>
    <w:p w14:paraId="12FABB73"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37F5DFE7" w14:textId="77777777" w:rsidR="00F506FA" w:rsidRPr="00F506FA" w:rsidRDefault="00F506FA" w:rsidP="00F506FA">
      <w:pPr>
        <w:widowControl w:val="0"/>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ja-JP"/>
        </w:rPr>
        <w:t>Adujo que no se demostró razones de fuerza mayor que restaran el derecho de defensa del contribuyente, en cambio sí se evidenció que la Administración dio oportunidades para presentar pruebas, contestar los requerimientos ordinarios y recurrir las decisiones.</w:t>
      </w:r>
    </w:p>
    <w:p w14:paraId="6E9B7270"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5C822481" w14:textId="77777777" w:rsidR="00F506FA" w:rsidRPr="00F506FA" w:rsidRDefault="00F506FA" w:rsidP="00F506FA">
      <w:pPr>
        <w:widowControl w:val="0"/>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ja-JP"/>
        </w:rPr>
        <w:t xml:space="preserve">En cuanto al espíritu de justicia, manifestó que este no se contrapone a las facultades de fiscalización de la Administración. </w:t>
      </w:r>
    </w:p>
    <w:p w14:paraId="07BF3F69" w14:textId="77777777" w:rsidR="00F506FA" w:rsidRPr="00F506FA" w:rsidRDefault="00F506FA" w:rsidP="00F506FA">
      <w:pPr>
        <w:widowControl w:val="0"/>
        <w:contextualSpacing/>
        <w:rPr>
          <w:rFonts w:ascii="Arial" w:eastAsia="Times New Roman" w:hAnsi="Arial" w:cs="Arial"/>
          <w:sz w:val="24"/>
          <w:szCs w:val="24"/>
          <w:lang w:eastAsia="ja-JP"/>
        </w:rPr>
      </w:pPr>
    </w:p>
    <w:p w14:paraId="4EF04AC1" w14:textId="77777777" w:rsidR="00F506FA" w:rsidRPr="00F506FA" w:rsidRDefault="00F506FA" w:rsidP="00F506FA">
      <w:pPr>
        <w:widowControl w:val="0"/>
        <w:contextualSpacing/>
        <w:rPr>
          <w:rFonts w:ascii="Arial" w:eastAsia="Times New Roman" w:hAnsi="Arial" w:cs="Arial"/>
          <w:b/>
          <w:sz w:val="24"/>
          <w:szCs w:val="24"/>
          <w:lang w:eastAsia="ja-JP"/>
        </w:rPr>
      </w:pPr>
      <w:r w:rsidRPr="00F506FA">
        <w:rPr>
          <w:rFonts w:ascii="Arial" w:eastAsia="Times New Roman" w:hAnsi="Arial" w:cs="Arial"/>
          <w:b/>
          <w:sz w:val="24"/>
          <w:szCs w:val="24"/>
          <w:lang w:eastAsia="ja-JP"/>
        </w:rPr>
        <w:t>Sentencia apelada</w:t>
      </w:r>
    </w:p>
    <w:p w14:paraId="73709D03"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42446032" w14:textId="77777777" w:rsidR="00F506FA" w:rsidRPr="00F506FA" w:rsidRDefault="00F506FA" w:rsidP="00F506FA">
      <w:pPr>
        <w:widowControl w:val="0"/>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ja-JP"/>
        </w:rPr>
        <w:t>El Tribunal Contencioso Administrativo de Risaralda, Sala Segunda de Decisión, en sentencia del 27 de enero de 2015, negó las súplicas de la demanda, con fundamento en las siguientes consideraciones (</w:t>
      </w:r>
      <w:proofErr w:type="spellStart"/>
      <w:r w:rsidRPr="00F506FA">
        <w:rPr>
          <w:rFonts w:ascii="Arial" w:eastAsia="Times New Roman" w:hAnsi="Arial" w:cs="Arial"/>
          <w:sz w:val="24"/>
          <w:szCs w:val="24"/>
          <w:lang w:eastAsia="ja-JP"/>
        </w:rPr>
        <w:t>ff</w:t>
      </w:r>
      <w:proofErr w:type="spellEnd"/>
      <w:r w:rsidRPr="00F506FA">
        <w:rPr>
          <w:rFonts w:ascii="Arial" w:eastAsia="Times New Roman" w:hAnsi="Arial" w:cs="Arial"/>
          <w:sz w:val="24"/>
          <w:szCs w:val="24"/>
          <w:lang w:eastAsia="ja-JP"/>
        </w:rPr>
        <w:t>. 169 a 177):</w:t>
      </w:r>
    </w:p>
    <w:p w14:paraId="542B2B6A" w14:textId="77777777" w:rsidR="00F506FA" w:rsidRPr="00F506FA" w:rsidRDefault="00F506FA" w:rsidP="00F506FA">
      <w:pPr>
        <w:widowControl w:val="0"/>
        <w:tabs>
          <w:tab w:val="left" w:pos="954"/>
        </w:tabs>
        <w:contextualSpacing/>
        <w:jc w:val="both"/>
        <w:rPr>
          <w:rFonts w:ascii="Arial" w:eastAsia="Times New Roman" w:hAnsi="Arial" w:cs="Arial"/>
          <w:sz w:val="24"/>
          <w:szCs w:val="24"/>
          <w:lang w:eastAsia="ja-JP"/>
        </w:rPr>
      </w:pPr>
    </w:p>
    <w:p w14:paraId="172D65C4" w14:textId="77777777" w:rsidR="00F506FA" w:rsidRPr="00F506FA" w:rsidRDefault="00F506FA" w:rsidP="00F506FA">
      <w:pPr>
        <w:widowControl w:val="0"/>
        <w:tabs>
          <w:tab w:val="left" w:pos="954"/>
        </w:tabs>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ja-JP"/>
        </w:rPr>
        <w:t xml:space="preserve">Aseveró que la notificación por correo del requerimiento especial se intentó en la última dirección informada por el contribuyente en el RUT (parágrafo 1.º del artículo 565 del ET), por lo que la devolución por correo permitía a la Administración acudir a la notificación por aviso, prevista en el artículo 568 del ET. En ese contexto, explicó que la autoridad fiscal no tenía que acudir a otros medios para establecer la dirección de notificación del contribuyente, pues tal actuación solo se requiere cuando el administrado no informa una dirección para notificación. </w:t>
      </w:r>
    </w:p>
    <w:p w14:paraId="43A5C507" w14:textId="77777777" w:rsidR="00F506FA" w:rsidRPr="00F506FA" w:rsidRDefault="00F506FA" w:rsidP="00F506FA">
      <w:pPr>
        <w:widowControl w:val="0"/>
        <w:tabs>
          <w:tab w:val="left" w:pos="954"/>
        </w:tabs>
        <w:contextualSpacing/>
        <w:jc w:val="both"/>
        <w:rPr>
          <w:rFonts w:ascii="Arial" w:eastAsia="Times New Roman" w:hAnsi="Arial" w:cs="Arial"/>
          <w:color w:val="002060"/>
          <w:sz w:val="24"/>
          <w:szCs w:val="24"/>
          <w:lang w:eastAsia="ja-JP"/>
        </w:rPr>
      </w:pPr>
    </w:p>
    <w:p w14:paraId="4984798E" w14:textId="77777777" w:rsidR="00F506FA" w:rsidRPr="00F506FA" w:rsidRDefault="00F506FA" w:rsidP="00F506FA">
      <w:pPr>
        <w:widowControl w:val="0"/>
        <w:tabs>
          <w:tab w:val="left" w:pos="954"/>
        </w:tabs>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ja-JP"/>
        </w:rPr>
        <w:t>De esta forma, basta con que se acredite una causal de devolución del correo para que se habilite la notificación del acto mediante aviso.</w:t>
      </w:r>
    </w:p>
    <w:p w14:paraId="7A381885" w14:textId="77777777" w:rsidR="00F506FA" w:rsidRPr="00F506FA" w:rsidRDefault="00F506FA" w:rsidP="00F506FA">
      <w:pPr>
        <w:widowControl w:val="0"/>
        <w:tabs>
          <w:tab w:val="left" w:pos="954"/>
        </w:tabs>
        <w:contextualSpacing/>
        <w:jc w:val="both"/>
        <w:rPr>
          <w:rFonts w:ascii="Arial" w:eastAsia="Times New Roman" w:hAnsi="Arial" w:cs="Arial"/>
          <w:sz w:val="24"/>
          <w:szCs w:val="24"/>
          <w:lang w:eastAsia="ja-JP"/>
        </w:rPr>
      </w:pPr>
    </w:p>
    <w:p w14:paraId="5511A1A6" w14:textId="77777777" w:rsidR="00F506FA" w:rsidRPr="00F506FA" w:rsidRDefault="00F506FA" w:rsidP="00F506FA">
      <w:pPr>
        <w:widowControl w:val="0"/>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ja-JP"/>
        </w:rPr>
        <w:t>Por otra parte, que los documentos y testimonios allegados para demostrar la permanencia del actor en la dirección a la que fue enviado el requerimiento especial, no lograron desvirtuar la causal de devolución del correo de notificación del acto preparatorio.</w:t>
      </w:r>
    </w:p>
    <w:p w14:paraId="2073368C"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7F005925" w14:textId="77777777" w:rsidR="00F506FA" w:rsidRPr="00F506FA" w:rsidRDefault="00F506FA" w:rsidP="00F506FA">
      <w:pPr>
        <w:widowControl w:val="0"/>
        <w:overflowPunct w:val="0"/>
        <w:autoSpaceDE w:val="0"/>
        <w:autoSpaceDN w:val="0"/>
        <w:adjustRightInd w:val="0"/>
        <w:contextualSpacing/>
        <w:jc w:val="both"/>
        <w:textAlignment w:val="baseline"/>
        <w:rPr>
          <w:rFonts w:ascii="Arial" w:eastAsia="Times New Roman" w:hAnsi="Arial" w:cs="Arial"/>
          <w:sz w:val="24"/>
          <w:szCs w:val="24"/>
          <w:lang w:eastAsia="ja-JP"/>
        </w:rPr>
      </w:pPr>
      <w:r w:rsidRPr="00F506FA">
        <w:rPr>
          <w:rFonts w:ascii="Arial" w:eastAsia="Times New Roman" w:hAnsi="Arial" w:cs="Arial"/>
          <w:sz w:val="24"/>
          <w:szCs w:val="24"/>
          <w:lang w:eastAsia="ja-JP"/>
        </w:rPr>
        <w:t>Finalmente, condenó en costas a la parte demandante.</w:t>
      </w:r>
    </w:p>
    <w:p w14:paraId="4B68DACD"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109EB5C7" w14:textId="77777777" w:rsidR="00F506FA" w:rsidRPr="00F506FA" w:rsidRDefault="00F506FA" w:rsidP="00F506FA">
      <w:pPr>
        <w:widowControl w:val="0"/>
        <w:overflowPunct w:val="0"/>
        <w:autoSpaceDE w:val="0"/>
        <w:autoSpaceDN w:val="0"/>
        <w:adjustRightInd w:val="0"/>
        <w:contextualSpacing/>
        <w:jc w:val="both"/>
        <w:textAlignment w:val="baseline"/>
        <w:rPr>
          <w:rFonts w:ascii="Arial" w:eastAsia="Times New Roman" w:hAnsi="Arial" w:cs="Arial"/>
          <w:sz w:val="24"/>
          <w:szCs w:val="24"/>
          <w:lang w:eastAsia="ja-JP"/>
        </w:rPr>
      </w:pPr>
      <w:r w:rsidRPr="00F506FA">
        <w:rPr>
          <w:rFonts w:ascii="Arial" w:eastAsia="Times New Roman" w:hAnsi="Arial" w:cs="Arial"/>
          <w:b/>
          <w:sz w:val="24"/>
          <w:szCs w:val="24"/>
          <w:lang w:eastAsia="ja-JP"/>
        </w:rPr>
        <w:t xml:space="preserve">Recurso de apelación </w:t>
      </w:r>
    </w:p>
    <w:p w14:paraId="33B05BD3" w14:textId="77777777" w:rsidR="00F506FA" w:rsidRPr="00F506FA" w:rsidRDefault="00F506FA" w:rsidP="00F506FA">
      <w:pPr>
        <w:widowControl w:val="0"/>
        <w:overflowPunct w:val="0"/>
        <w:autoSpaceDE w:val="0"/>
        <w:autoSpaceDN w:val="0"/>
        <w:adjustRightInd w:val="0"/>
        <w:contextualSpacing/>
        <w:jc w:val="both"/>
        <w:textAlignment w:val="baseline"/>
        <w:rPr>
          <w:rFonts w:ascii="Arial" w:eastAsia="Times New Roman" w:hAnsi="Arial" w:cs="Arial"/>
          <w:sz w:val="24"/>
          <w:szCs w:val="24"/>
          <w:lang w:eastAsia="ja-JP"/>
        </w:rPr>
      </w:pPr>
    </w:p>
    <w:p w14:paraId="0FBF80E7" w14:textId="77777777" w:rsidR="00F506FA" w:rsidRPr="00F506FA" w:rsidRDefault="00F506FA" w:rsidP="00F506FA">
      <w:pPr>
        <w:widowControl w:val="0"/>
        <w:overflowPunct w:val="0"/>
        <w:autoSpaceDE w:val="0"/>
        <w:autoSpaceDN w:val="0"/>
        <w:adjustRightInd w:val="0"/>
        <w:contextualSpacing/>
        <w:jc w:val="both"/>
        <w:textAlignment w:val="baseline"/>
        <w:rPr>
          <w:rFonts w:ascii="Arial" w:eastAsia="Times New Roman" w:hAnsi="Arial" w:cs="Arial"/>
          <w:sz w:val="24"/>
          <w:szCs w:val="24"/>
          <w:lang w:eastAsia="ja-JP"/>
        </w:rPr>
      </w:pPr>
      <w:r w:rsidRPr="00F506FA">
        <w:rPr>
          <w:rFonts w:ascii="Arial" w:eastAsia="Times New Roman" w:hAnsi="Arial" w:cs="Arial"/>
          <w:sz w:val="24"/>
          <w:szCs w:val="24"/>
          <w:lang w:eastAsia="ja-JP"/>
        </w:rPr>
        <w:t>El</w:t>
      </w:r>
      <w:r w:rsidRPr="00F506FA">
        <w:rPr>
          <w:rFonts w:ascii="Arial" w:eastAsia="Times New Roman" w:hAnsi="Arial" w:cs="Arial"/>
          <w:b/>
          <w:sz w:val="24"/>
          <w:szCs w:val="24"/>
          <w:lang w:eastAsia="ja-JP"/>
        </w:rPr>
        <w:t xml:space="preserve"> </w:t>
      </w:r>
      <w:r w:rsidRPr="00F506FA">
        <w:rPr>
          <w:rFonts w:ascii="Arial" w:eastAsia="Times New Roman" w:hAnsi="Arial" w:cs="Arial"/>
          <w:sz w:val="24"/>
          <w:szCs w:val="24"/>
          <w:lang w:eastAsia="ja-JP"/>
        </w:rPr>
        <w:t>demandante interpuso recurso de apelación contra la sentencia del tribunal, en el que reiteró los argumentos de la demanda (</w:t>
      </w:r>
      <w:proofErr w:type="spellStart"/>
      <w:r w:rsidRPr="00F506FA">
        <w:rPr>
          <w:rFonts w:ascii="Arial" w:eastAsia="Times New Roman" w:hAnsi="Arial" w:cs="Arial"/>
          <w:sz w:val="24"/>
          <w:szCs w:val="24"/>
          <w:lang w:eastAsia="ja-JP"/>
        </w:rPr>
        <w:t>ff</w:t>
      </w:r>
      <w:proofErr w:type="spellEnd"/>
      <w:r w:rsidRPr="00F506FA">
        <w:rPr>
          <w:rFonts w:ascii="Arial" w:eastAsia="Times New Roman" w:hAnsi="Arial" w:cs="Arial"/>
          <w:sz w:val="24"/>
          <w:szCs w:val="24"/>
          <w:lang w:eastAsia="ja-JP"/>
        </w:rPr>
        <w:t xml:space="preserve">. 185 a 202). </w:t>
      </w:r>
    </w:p>
    <w:p w14:paraId="40C0C9D4" w14:textId="77777777" w:rsidR="00F506FA" w:rsidRPr="00F506FA" w:rsidRDefault="00F506FA" w:rsidP="00F506FA">
      <w:pPr>
        <w:widowControl w:val="0"/>
        <w:overflowPunct w:val="0"/>
        <w:autoSpaceDE w:val="0"/>
        <w:autoSpaceDN w:val="0"/>
        <w:adjustRightInd w:val="0"/>
        <w:contextualSpacing/>
        <w:jc w:val="both"/>
        <w:textAlignment w:val="baseline"/>
        <w:rPr>
          <w:rFonts w:ascii="Arial" w:eastAsia="Times New Roman" w:hAnsi="Arial" w:cs="Arial"/>
          <w:sz w:val="24"/>
          <w:szCs w:val="24"/>
          <w:lang w:eastAsia="ja-JP"/>
        </w:rPr>
      </w:pPr>
    </w:p>
    <w:p w14:paraId="3F0B8E6D" w14:textId="77777777" w:rsidR="00F506FA" w:rsidRPr="00F506FA" w:rsidRDefault="00F506FA" w:rsidP="00F506FA">
      <w:pPr>
        <w:widowControl w:val="0"/>
        <w:overflowPunct w:val="0"/>
        <w:autoSpaceDE w:val="0"/>
        <w:autoSpaceDN w:val="0"/>
        <w:adjustRightInd w:val="0"/>
        <w:contextualSpacing/>
        <w:jc w:val="both"/>
        <w:textAlignment w:val="baseline"/>
        <w:rPr>
          <w:rFonts w:ascii="Arial" w:eastAsia="Times New Roman" w:hAnsi="Arial" w:cs="Arial"/>
          <w:sz w:val="24"/>
          <w:szCs w:val="24"/>
          <w:lang w:eastAsia="ja-JP"/>
        </w:rPr>
      </w:pPr>
      <w:r w:rsidRPr="00F506FA">
        <w:rPr>
          <w:rFonts w:ascii="Arial" w:eastAsia="Times New Roman" w:hAnsi="Arial" w:cs="Arial"/>
          <w:sz w:val="24"/>
          <w:szCs w:val="24"/>
          <w:lang w:eastAsia="ja-JP"/>
        </w:rPr>
        <w:t xml:space="preserve">Consideró que la DIAN no podía notificar por aviso el requerimiento especial, dado que la dirección a la que se envió la notificación era correcta y </w:t>
      </w:r>
      <w:r w:rsidRPr="00F506FA">
        <w:rPr>
          <w:rFonts w:ascii="Arial" w:eastAsia="Times New Roman" w:hAnsi="Arial" w:cs="Arial"/>
          <w:sz w:val="24"/>
          <w:szCs w:val="24"/>
          <w:lang w:eastAsia="ja-JP"/>
        </w:rPr>
        <w:lastRenderedPageBreak/>
        <w:t>correspondía a la registrada en el RUT, así que resulta injustificada la causal de devolución del correo.</w:t>
      </w:r>
    </w:p>
    <w:p w14:paraId="3963BF38" w14:textId="77777777" w:rsidR="00F506FA" w:rsidRPr="00F506FA" w:rsidRDefault="00F506FA" w:rsidP="00F506FA">
      <w:pPr>
        <w:widowControl w:val="0"/>
        <w:overflowPunct w:val="0"/>
        <w:autoSpaceDE w:val="0"/>
        <w:autoSpaceDN w:val="0"/>
        <w:adjustRightInd w:val="0"/>
        <w:contextualSpacing/>
        <w:jc w:val="both"/>
        <w:textAlignment w:val="baseline"/>
        <w:rPr>
          <w:rFonts w:ascii="Arial" w:eastAsia="Times New Roman" w:hAnsi="Arial" w:cs="Arial"/>
          <w:sz w:val="24"/>
          <w:szCs w:val="24"/>
          <w:lang w:eastAsia="ja-JP"/>
        </w:rPr>
      </w:pPr>
    </w:p>
    <w:p w14:paraId="42AB9618" w14:textId="77777777" w:rsidR="00F506FA" w:rsidRPr="00F506FA" w:rsidRDefault="00F506FA" w:rsidP="00F506FA">
      <w:pPr>
        <w:widowControl w:val="0"/>
        <w:overflowPunct w:val="0"/>
        <w:autoSpaceDE w:val="0"/>
        <w:autoSpaceDN w:val="0"/>
        <w:adjustRightInd w:val="0"/>
        <w:contextualSpacing/>
        <w:jc w:val="both"/>
        <w:textAlignment w:val="baseline"/>
        <w:rPr>
          <w:rFonts w:ascii="Arial" w:eastAsia="Times New Roman" w:hAnsi="Arial" w:cs="Arial"/>
          <w:sz w:val="24"/>
          <w:szCs w:val="24"/>
          <w:lang w:eastAsia="ja-JP"/>
        </w:rPr>
      </w:pPr>
      <w:r w:rsidRPr="00F506FA">
        <w:rPr>
          <w:rFonts w:ascii="Arial" w:eastAsia="Times New Roman" w:hAnsi="Arial" w:cs="Arial"/>
          <w:sz w:val="24"/>
          <w:szCs w:val="24"/>
          <w:lang w:eastAsia="ja-JP"/>
        </w:rPr>
        <w:t>Aseguró que fue probado que el actor nunca se trasladó de la dirección a la que, presuntamente, fue enviada la notificación del requerimiento especial. Que el número telefónico consignado en el RUT no había sido cambiado, por lo que dicha entidad pudo comunicarse por este medio para confirmar la dirección; a efectos de agotar constataciones que permitieran ubicar directamente al contribuyente.</w:t>
      </w:r>
    </w:p>
    <w:p w14:paraId="4BA9ECE3" w14:textId="77777777" w:rsidR="00F506FA" w:rsidRPr="00F506FA" w:rsidRDefault="00F506FA" w:rsidP="00F506FA">
      <w:pPr>
        <w:widowControl w:val="0"/>
        <w:overflowPunct w:val="0"/>
        <w:autoSpaceDE w:val="0"/>
        <w:autoSpaceDN w:val="0"/>
        <w:adjustRightInd w:val="0"/>
        <w:contextualSpacing/>
        <w:jc w:val="both"/>
        <w:textAlignment w:val="baseline"/>
        <w:rPr>
          <w:rFonts w:ascii="Arial" w:eastAsia="Times New Roman" w:hAnsi="Arial" w:cs="Arial"/>
          <w:sz w:val="24"/>
          <w:szCs w:val="24"/>
          <w:lang w:eastAsia="ja-JP"/>
        </w:rPr>
      </w:pPr>
    </w:p>
    <w:p w14:paraId="50F195F5" w14:textId="77777777" w:rsidR="00F506FA" w:rsidRPr="00F506FA" w:rsidRDefault="00F506FA" w:rsidP="00F506FA">
      <w:pPr>
        <w:widowControl w:val="0"/>
        <w:contextualSpacing/>
        <w:rPr>
          <w:rFonts w:ascii="Arial" w:eastAsia="Times New Roman" w:hAnsi="Arial" w:cs="Arial"/>
          <w:sz w:val="24"/>
          <w:szCs w:val="24"/>
          <w:lang w:eastAsia="ja-JP"/>
        </w:rPr>
      </w:pPr>
      <w:r w:rsidRPr="00F506FA">
        <w:rPr>
          <w:rFonts w:ascii="Arial" w:eastAsia="Times New Roman" w:hAnsi="Arial" w:cs="Arial"/>
          <w:b/>
          <w:sz w:val="24"/>
          <w:szCs w:val="24"/>
          <w:lang w:eastAsia="ja-JP"/>
        </w:rPr>
        <w:t>Alegatos de conclusión</w:t>
      </w:r>
    </w:p>
    <w:p w14:paraId="5F12BB82" w14:textId="77777777" w:rsidR="00F506FA" w:rsidRPr="00F506FA" w:rsidRDefault="00F506FA" w:rsidP="00F506FA">
      <w:pPr>
        <w:widowControl w:val="0"/>
        <w:overflowPunct w:val="0"/>
        <w:autoSpaceDE w:val="0"/>
        <w:autoSpaceDN w:val="0"/>
        <w:adjustRightInd w:val="0"/>
        <w:contextualSpacing/>
        <w:jc w:val="both"/>
        <w:textAlignment w:val="baseline"/>
        <w:rPr>
          <w:rFonts w:ascii="Arial" w:eastAsia="Times New Roman" w:hAnsi="Arial" w:cs="Arial"/>
          <w:sz w:val="24"/>
          <w:szCs w:val="24"/>
          <w:lang w:eastAsia="ja-JP"/>
        </w:rPr>
      </w:pPr>
    </w:p>
    <w:p w14:paraId="6CB04C75" w14:textId="77777777" w:rsidR="00F506FA" w:rsidRPr="00F506FA" w:rsidRDefault="00F506FA" w:rsidP="00F506FA">
      <w:pPr>
        <w:widowControl w:val="0"/>
        <w:overflowPunct w:val="0"/>
        <w:autoSpaceDE w:val="0"/>
        <w:autoSpaceDN w:val="0"/>
        <w:adjustRightInd w:val="0"/>
        <w:contextualSpacing/>
        <w:jc w:val="both"/>
        <w:textAlignment w:val="baseline"/>
        <w:rPr>
          <w:rFonts w:ascii="Arial" w:eastAsia="Times New Roman" w:hAnsi="Arial" w:cs="Arial"/>
          <w:sz w:val="24"/>
          <w:szCs w:val="24"/>
          <w:lang w:eastAsia="ja-JP"/>
        </w:rPr>
      </w:pPr>
      <w:r w:rsidRPr="00F506FA">
        <w:rPr>
          <w:rFonts w:ascii="Arial" w:eastAsia="Times New Roman" w:hAnsi="Arial" w:cs="Arial"/>
          <w:sz w:val="24"/>
          <w:szCs w:val="24"/>
          <w:lang w:eastAsia="ja-JP"/>
        </w:rPr>
        <w:t>El demandante reiteró los argumentos expuestos en la apelación. Adicionalmente expuso que al no haberse notificado el requerimiento especial, la DIAN hizo perder la eventual oportunidad de acogerse al beneficio de la corrección provocada (</w:t>
      </w:r>
      <w:proofErr w:type="spellStart"/>
      <w:r w:rsidRPr="00F506FA">
        <w:rPr>
          <w:rFonts w:ascii="Arial" w:eastAsia="Times New Roman" w:hAnsi="Arial" w:cs="Arial"/>
          <w:sz w:val="24"/>
          <w:szCs w:val="24"/>
          <w:lang w:eastAsia="ja-JP"/>
        </w:rPr>
        <w:t>ff</w:t>
      </w:r>
      <w:proofErr w:type="spellEnd"/>
      <w:r w:rsidRPr="00F506FA">
        <w:rPr>
          <w:rFonts w:ascii="Arial" w:eastAsia="Times New Roman" w:hAnsi="Arial" w:cs="Arial"/>
          <w:sz w:val="24"/>
          <w:szCs w:val="24"/>
          <w:lang w:eastAsia="ja-JP"/>
        </w:rPr>
        <w:t>. 242 a 259).</w:t>
      </w:r>
    </w:p>
    <w:p w14:paraId="4272035D" w14:textId="77777777" w:rsidR="00F506FA" w:rsidRPr="00F506FA" w:rsidRDefault="00F506FA" w:rsidP="00F506FA">
      <w:pPr>
        <w:widowControl w:val="0"/>
        <w:overflowPunct w:val="0"/>
        <w:autoSpaceDE w:val="0"/>
        <w:autoSpaceDN w:val="0"/>
        <w:adjustRightInd w:val="0"/>
        <w:contextualSpacing/>
        <w:jc w:val="both"/>
        <w:textAlignment w:val="baseline"/>
        <w:rPr>
          <w:rFonts w:ascii="Arial" w:eastAsia="Times New Roman" w:hAnsi="Arial" w:cs="Arial"/>
          <w:sz w:val="24"/>
          <w:szCs w:val="24"/>
          <w:lang w:eastAsia="ja-JP"/>
        </w:rPr>
      </w:pPr>
    </w:p>
    <w:p w14:paraId="2AF7DF21" w14:textId="77777777" w:rsidR="00F506FA" w:rsidRPr="00F506FA" w:rsidRDefault="00F506FA" w:rsidP="00F506FA">
      <w:pPr>
        <w:widowControl w:val="0"/>
        <w:overflowPunct w:val="0"/>
        <w:autoSpaceDE w:val="0"/>
        <w:autoSpaceDN w:val="0"/>
        <w:adjustRightInd w:val="0"/>
        <w:contextualSpacing/>
        <w:jc w:val="both"/>
        <w:textAlignment w:val="baseline"/>
        <w:rPr>
          <w:rFonts w:ascii="Arial" w:eastAsia="Times New Roman" w:hAnsi="Arial" w:cs="Arial"/>
          <w:sz w:val="24"/>
          <w:szCs w:val="24"/>
          <w:lang w:eastAsia="ja-JP"/>
        </w:rPr>
      </w:pPr>
      <w:r w:rsidRPr="00F506FA">
        <w:rPr>
          <w:rFonts w:ascii="Arial" w:eastAsia="Times New Roman" w:hAnsi="Arial" w:cs="Arial"/>
          <w:sz w:val="24"/>
          <w:szCs w:val="24"/>
          <w:lang w:eastAsia="ja-JP"/>
        </w:rPr>
        <w:t>Por su parte, la demandada presentó alegatos de conclusión argumentando que la dirección registrada en el RUT, el 27 de agosto de 2010, estuvo vigente hasta el 28 de agosto de 2012 (</w:t>
      </w:r>
      <w:proofErr w:type="spellStart"/>
      <w:r w:rsidRPr="00F506FA">
        <w:rPr>
          <w:rFonts w:ascii="Arial" w:eastAsia="Times New Roman" w:hAnsi="Arial" w:cs="Arial"/>
          <w:sz w:val="24"/>
          <w:szCs w:val="24"/>
          <w:lang w:eastAsia="ja-JP"/>
        </w:rPr>
        <w:t>ff</w:t>
      </w:r>
      <w:proofErr w:type="spellEnd"/>
      <w:r w:rsidRPr="00F506FA">
        <w:rPr>
          <w:rFonts w:ascii="Arial" w:eastAsia="Times New Roman" w:hAnsi="Arial" w:cs="Arial"/>
          <w:sz w:val="24"/>
          <w:szCs w:val="24"/>
          <w:lang w:eastAsia="ja-JP"/>
        </w:rPr>
        <w:t>. 260 a 262).</w:t>
      </w:r>
    </w:p>
    <w:p w14:paraId="0237AE63" w14:textId="77777777" w:rsidR="00F506FA" w:rsidRPr="00F506FA" w:rsidRDefault="00F506FA" w:rsidP="00F506FA">
      <w:pPr>
        <w:widowControl w:val="0"/>
        <w:overflowPunct w:val="0"/>
        <w:autoSpaceDE w:val="0"/>
        <w:autoSpaceDN w:val="0"/>
        <w:adjustRightInd w:val="0"/>
        <w:contextualSpacing/>
        <w:jc w:val="both"/>
        <w:textAlignment w:val="baseline"/>
        <w:rPr>
          <w:rFonts w:ascii="Arial" w:eastAsia="Times New Roman" w:hAnsi="Arial" w:cs="Arial"/>
          <w:sz w:val="24"/>
          <w:szCs w:val="24"/>
          <w:lang w:eastAsia="ja-JP"/>
        </w:rPr>
      </w:pPr>
    </w:p>
    <w:p w14:paraId="2D29C4B0" w14:textId="77777777" w:rsidR="00F506FA" w:rsidRPr="00F506FA" w:rsidRDefault="00F506FA" w:rsidP="00F506FA">
      <w:pPr>
        <w:widowControl w:val="0"/>
        <w:overflowPunct w:val="0"/>
        <w:autoSpaceDE w:val="0"/>
        <w:autoSpaceDN w:val="0"/>
        <w:adjustRightInd w:val="0"/>
        <w:contextualSpacing/>
        <w:jc w:val="both"/>
        <w:textAlignment w:val="baseline"/>
        <w:rPr>
          <w:rFonts w:ascii="Arial" w:eastAsia="Times New Roman" w:hAnsi="Arial" w:cs="Arial"/>
          <w:sz w:val="24"/>
          <w:szCs w:val="24"/>
          <w:lang w:eastAsia="ja-JP"/>
        </w:rPr>
      </w:pPr>
      <w:r w:rsidRPr="00F506FA">
        <w:rPr>
          <w:rFonts w:ascii="Arial" w:eastAsia="Times New Roman" w:hAnsi="Arial" w:cs="Arial"/>
          <w:sz w:val="24"/>
          <w:szCs w:val="24"/>
          <w:lang w:eastAsia="ja-JP"/>
        </w:rPr>
        <w:t>En cuanto al contrato de arrendamiento, señaló que el demandante figura como deudor solidario y no como arrendatario.</w:t>
      </w:r>
    </w:p>
    <w:p w14:paraId="366B5AAC" w14:textId="77777777" w:rsidR="00F506FA" w:rsidRPr="00F506FA" w:rsidRDefault="00F506FA" w:rsidP="00F506FA">
      <w:pPr>
        <w:widowControl w:val="0"/>
        <w:overflowPunct w:val="0"/>
        <w:autoSpaceDE w:val="0"/>
        <w:autoSpaceDN w:val="0"/>
        <w:adjustRightInd w:val="0"/>
        <w:contextualSpacing/>
        <w:jc w:val="both"/>
        <w:textAlignment w:val="baseline"/>
        <w:rPr>
          <w:rFonts w:ascii="Arial" w:eastAsia="Times New Roman" w:hAnsi="Arial" w:cs="Arial"/>
          <w:sz w:val="24"/>
          <w:szCs w:val="24"/>
          <w:lang w:eastAsia="ja-JP"/>
        </w:rPr>
      </w:pPr>
    </w:p>
    <w:p w14:paraId="4F8254F2" w14:textId="77777777" w:rsidR="00F506FA" w:rsidRPr="00F506FA" w:rsidRDefault="00F506FA" w:rsidP="00F506FA">
      <w:pPr>
        <w:widowControl w:val="0"/>
        <w:overflowPunct w:val="0"/>
        <w:autoSpaceDE w:val="0"/>
        <w:autoSpaceDN w:val="0"/>
        <w:adjustRightInd w:val="0"/>
        <w:contextualSpacing/>
        <w:jc w:val="both"/>
        <w:textAlignment w:val="baseline"/>
        <w:rPr>
          <w:rFonts w:ascii="Arial" w:eastAsia="Times New Roman" w:hAnsi="Arial" w:cs="Arial"/>
          <w:sz w:val="24"/>
          <w:szCs w:val="24"/>
          <w:lang w:eastAsia="ja-JP"/>
        </w:rPr>
      </w:pPr>
      <w:r w:rsidRPr="00F506FA">
        <w:rPr>
          <w:rFonts w:ascii="Arial" w:eastAsia="Times New Roman" w:hAnsi="Arial" w:cs="Arial"/>
          <w:sz w:val="24"/>
          <w:szCs w:val="24"/>
          <w:lang w:eastAsia="ja-JP"/>
        </w:rPr>
        <w:t>Afirmó que, según los testimonios de Héctor Fabio Gutiérrez y Fernando Usma, el demandante sí se trasladó del establecimiento ubicado en la carrera 16 # 43 – 42, barrio San Fernando de Dosquebradas, con lo cual no se desvirtúa la causal «</w:t>
      </w:r>
      <w:r w:rsidRPr="00F506FA">
        <w:rPr>
          <w:rFonts w:ascii="Arial" w:eastAsia="Times New Roman" w:hAnsi="Arial" w:cs="Arial"/>
          <w:i/>
          <w:sz w:val="24"/>
          <w:szCs w:val="24"/>
          <w:lang w:eastAsia="ja-JP"/>
        </w:rPr>
        <w:t>Se trasladó</w:t>
      </w:r>
      <w:r w:rsidRPr="00F506FA">
        <w:rPr>
          <w:rFonts w:ascii="Arial" w:eastAsia="Times New Roman" w:hAnsi="Arial" w:cs="Arial"/>
          <w:sz w:val="24"/>
          <w:szCs w:val="24"/>
          <w:lang w:eastAsia="ja-JP"/>
        </w:rPr>
        <w:t>», que dio lugar a la devolución del correo. Añadió que la guía de notificación no fue tachada de falsedad.</w:t>
      </w:r>
    </w:p>
    <w:p w14:paraId="5601A74C" w14:textId="77777777" w:rsidR="00F506FA" w:rsidRPr="00F506FA" w:rsidRDefault="00F506FA" w:rsidP="00F506FA">
      <w:pPr>
        <w:widowControl w:val="0"/>
        <w:overflowPunct w:val="0"/>
        <w:autoSpaceDE w:val="0"/>
        <w:autoSpaceDN w:val="0"/>
        <w:adjustRightInd w:val="0"/>
        <w:contextualSpacing/>
        <w:jc w:val="both"/>
        <w:textAlignment w:val="baseline"/>
        <w:rPr>
          <w:rFonts w:ascii="Arial" w:eastAsia="Times New Roman" w:hAnsi="Arial" w:cs="Arial"/>
          <w:sz w:val="24"/>
          <w:szCs w:val="24"/>
          <w:lang w:eastAsia="ja-JP"/>
        </w:rPr>
      </w:pPr>
    </w:p>
    <w:p w14:paraId="187BF138" w14:textId="77777777" w:rsidR="00F506FA" w:rsidRPr="00F506FA" w:rsidRDefault="00F506FA" w:rsidP="00F506FA">
      <w:pPr>
        <w:widowControl w:val="0"/>
        <w:overflowPunct w:val="0"/>
        <w:autoSpaceDE w:val="0"/>
        <w:autoSpaceDN w:val="0"/>
        <w:adjustRightInd w:val="0"/>
        <w:contextualSpacing/>
        <w:jc w:val="both"/>
        <w:textAlignment w:val="baseline"/>
        <w:rPr>
          <w:rFonts w:ascii="Arial" w:eastAsia="Times New Roman" w:hAnsi="Arial" w:cs="Arial"/>
          <w:b/>
          <w:sz w:val="24"/>
          <w:szCs w:val="24"/>
          <w:lang w:eastAsia="ja-JP"/>
        </w:rPr>
      </w:pPr>
      <w:r w:rsidRPr="00F506FA">
        <w:rPr>
          <w:rFonts w:ascii="Arial" w:eastAsia="Times New Roman" w:hAnsi="Arial" w:cs="Arial"/>
          <w:b/>
          <w:sz w:val="24"/>
          <w:szCs w:val="24"/>
          <w:lang w:eastAsia="ja-JP"/>
        </w:rPr>
        <w:t>Concepto del Ministerio Público</w:t>
      </w:r>
    </w:p>
    <w:p w14:paraId="65E1A651" w14:textId="77777777" w:rsidR="00F506FA" w:rsidRPr="00F506FA" w:rsidRDefault="00F506FA" w:rsidP="00F506FA">
      <w:pPr>
        <w:widowControl w:val="0"/>
        <w:overflowPunct w:val="0"/>
        <w:autoSpaceDE w:val="0"/>
        <w:autoSpaceDN w:val="0"/>
        <w:adjustRightInd w:val="0"/>
        <w:contextualSpacing/>
        <w:jc w:val="both"/>
        <w:textAlignment w:val="baseline"/>
        <w:rPr>
          <w:rFonts w:ascii="Arial" w:eastAsia="Times New Roman" w:hAnsi="Arial" w:cs="Arial"/>
          <w:sz w:val="24"/>
          <w:szCs w:val="24"/>
          <w:lang w:eastAsia="ja-JP"/>
        </w:rPr>
      </w:pPr>
    </w:p>
    <w:p w14:paraId="1CB65B60" w14:textId="77777777" w:rsidR="00F506FA" w:rsidRPr="00F506FA" w:rsidRDefault="00F506FA" w:rsidP="00F506FA">
      <w:pPr>
        <w:widowControl w:val="0"/>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ja-JP"/>
        </w:rPr>
        <w:t>El Ministerio Público guardó silencio.</w:t>
      </w:r>
    </w:p>
    <w:p w14:paraId="1ADC4593"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0F65C7C3"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4EAD2F86" w14:textId="77777777" w:rsidR="00F506FA" w:rsidRPr="00F506FA" w:rsidRDefault="00F506FA" w:rsidP="00F506FA">
      <w:pPr>
        <w:widowControl w:val="0"/>
        <w:contextualSpacing/>
        <w:jc w:val="center"/>
        <w:rPr>
          <w:rFonts w:ascii="Arial" w:eastAsia="Times New Roman" w:hAnsi="Arial" w:cs="Arial"/>
          <w:sz w:val="24"/>
          <w:szCs w:val="24"/>
          <w:lang w:eastAsia="ja-JP"/>
        </w:rPr>
      </w:pPr>
      <w:r w:rsidRPr="00F506FA">
        <w:rPr>
          <w:rFonts w:ascii="Arial" w:eastAsia="Times New Roman" w:hAnsi="Arial" w:cs="Arial"/>
          <w:b/>
          <w:sz w:val="24"/>
          <w:szCs w:val="24"/>
          <w:lang w:eastAsia="ja-JP"/>
        </w:rPr>
        <w:t>CONSIDERACIONES DE LA SALA</w:t>
      </w:r>
    </w:p>
    <w:p w14:paraId="6504FD8C"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0B7FC3D9"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3F890318"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ja-JP"/>
        </w:rPr>
      </w:pPr>
      <w:r w:rsidRPr="00F506FA">
        <w:rPr>
          <w:rFonts w:ascii="Arial" w:eastAsia="Times New Roman" w:hAnsi="Arial" w:cs="Arial"/>
          <w:sz w:val="24"/>
          <w:szCs w:val="26"/>
          <w:lang w:eastAsia="ja-JP"/>
        </w:rPr>
        <w:t>1-</w:t>
      </w:r>
      <w:r w:rsidRPr="00F506FA">
        <w:rPr>
          <w:rFonts w:ascii="Arial" w:eastAsia="Times New Roman" w:hAnsi="Arial" w:cs="Arial"/>
          <w:sz w:val="24"/>
          <w:szCs w:val="26"/>
          <w:lang w:eastAsia="ja-JP"/>
        </w:rPr>
        <w:tab/>
        <w:t xml:space="preserve">La Sala debe determinar la legalidad de los actos demandados, atendiendo a los cargos de apelación formulados por la parte actora respecto de la sentencia </w:t>
      </w:r>
      <w:r w:rsidRPr="00F506FA">
        <w:rPr>
          <w:rFonts w:ascii="Arial" w:eastAsia="Times New Roman" w:hAnsi="Arial" w:cs="Arial"/>
          <w:sz w:val="24"/>
          <w:szCs w:val="26"/>
          <w:lang w:eastAsia="es-ES"/>
        </w:rPr>
        <w:t>del</w:t>
      </w:r>
      <w:r w:rsidRPr="00F506FA">
        <w:rPr>
          <w:rFonts w:ascii="Arial" w:eastAsia="Times New Roman" w:hAnsi="Arial" w:cs="Arial"/>
          <w:sz w:val="24"/>
          <w:szCs w:val="26"/>
          <w:lang w:eastAsia="ja-JP"/>
        </w:rPr>
        <w:t xml:space="preserve"> Tribunal Administrativo de Risaralda, proferida el </w:t>
      </w:r>
      <w:r w:rsidRPr="00F506FA">
        <w:rPr>
          <w:rFonts w:ascii="Arial" w:eastAsia="Times New Roman" w:hAnsi="Arial" w:cs="Arial"/>
          <w:sz w:val="24"/>
          <w:szCs w:val="24"/>
          <w:lang w:eastAsia="ja-JP"/>
        </w:rPr>
        <w:t>27 de enero de 2015</w:t>
      </w:r>
      <w:r w:rsidRPr="00F506FA">
        <w:rPr>
          <w:rFonts w:ascii="Arial" w:eastAsia="Times New Roman" w:hAnsi="Arial" w:cs="Arial"/>
          <w:sz w:val="24"/>
          <w:szCs w:val="26"/>
          <w:lang w:eastAsia="ja-JP"/>
        </w:rPr>
        <w:t xml:space="preserve">, que </w:t>
      </w:r>
      <w:r w:rsidRPr="00F506FA">
        <w:rPr>
          <w:rFonts w:ascii="Arial" w:eastAsia="Times New Roman" w:hAnsi="Arial" w:cs="Arial"/>
          <w:sz w:val="24"/>
          <w:szCs w:val="24"/>
          <w:lang w:eastAsia="ja-JP"/>
        </w:rPr>
        <w:t>negó las pretensiones de la demanda (</w:t>
      </w:r>
      <w:proofErr w:type="spellStart"/>
      <w:r w:rsidRPr="00F506FA">
        <w:rPr>
          <w:rFonts w:ascii="Arial" w:eastAsia="Times New Roman" w:hAnsi="Arial" w:cs="Arial"/>
          <w:sz w:val="24"/>
          <w:szCs w:val="24"/>
          <w:lang w:eastAsia="ja-JP"/>
        </w:rPr>
        <w:t>ff</w:t>
      </w:r>
      <w:proofErr w:type="spellEnd"/>
      <w:r w:rsidRPr="00F506FA">
        <w:rPr>
          <w:rFonts w:ascii="Arial" w:eastAsia="Times New Roman" w:hAnsi="Arial" w:cs="Arial"/>
          <w:sz w:val="24"/>
          <w:szCs w:val="24"/>
          <w:lang w:eastAsia="ja-JP"/>
        </w:rPr>
        <w:t>. 169 a 177).</w:t>
      </w:r>
    </w:p>
    <w:p w14:paraId="06489074" w14:textId="77777777" w:rsidR="00F506FA" w:rsidRPr="00F506FA" w:rsidRDefault="00F506FA" w:rsidP="00F506FA">
      <w:pPr>
        <w:widowControl w:val="0"/>
        <w:contextualSpacing/>
        <w:rPr>
          <w:rFonts w:ascii="Arial" w:eastAsia="Times New Roman" w:hAnsi="Arial" w:cs="Arial"/>
          <w:sz w:val="24"/>
          <w:szCs w:val="24"/>
          <w:lang w:eastAsia="es-ES"/>
        </w:rPr>
      </w:pPr>
    </w:p>
    <w:p w14:paraId="28DA78BA" w14:textId="77777777" w:rsidR="00F506FA" w:rsidRPr="00F506FA" w:rsidRDefault="00F506FA" w:rsidP="00F506FA">
      <w:pPr>
        <w:widowControl w:val="0"/>
        <w:contextualSpacing/>
        <w:jc w:val="both"/>
        <w:rPr>
          <w:rFonts w:ascii="Arial" w:eastAsia="Times New Roman" w:hAnsi="Arial" w:cs="Arial"/>
          <w:sz w:val="24"/>
          <w:szCs w:val="24"/>
          <w:lang w:eastAsia="ja-JP"/>
        </w:rPr>
      </w:pPr>
      <w:r w:rsidRPr="00F506FA">
        <w:rPr>
          <w:rFonts w:ascii="Arial" w:eastAsia="Times New Roman" w:hAnsi="Arial" w:cs="Arial"/>
          <w:sz w:val="24"/>
          <w:szCs w:val="26"/>
          <w:lang w:eastAsia="es-ES"/>
        </w:rPr>
        <w:lastRenderedPageBreak/>
        <w:t>En los anteriores términos, corresponde establecer si la notificación por aviso</w:t>
      </w:r>
      <w:r w:rsidRPr="00F506FA">
        <w:rPr>
          <w:rFonts w:ascii="Arial" w:eastAsia="Times New Roman" w:hAnsi="Arial" w:cs="Arial"/>
          <w:sz w:val="24"/>
          <w:szCs w:val="24"/>
          <w:lang w:eastAsia="ja-JP"/>
        </w:rPr>
        <w:t xml:space="preserve"> del Requerimiento Especial nro. 162382012000043, del 31 de mayo de 2012, vició de nulidad la actuación administrativa demandada.</w:t>
      </w:r>
    </w:p>
    <w:p w14:paraId="60562F17" w14:textId="77777777" w:rsidR="00F506FA" w:rsidRPr="00F506FA" w:rsidRDefault="00F506FA" w:rsidP="00F506FA">
      <w:pPr>
        <w:widowControl w:val="0"/>
        <w:contextualSpacing/>
        <w:jc w:val="both"/>
        <w:rPr>
          <w:rFonts w:ascii="Arial" w:eastAsia="Times New Roman" w:hAnsi="Arial" w:cs="Arial"/>
          <w:sz w:val="24"/>
          <w:szCs w:val="26"/>
          <w:lang w:eastAsia="es-ES"/>
        </w:rPr>
      </w:pPr>
    </w:p>
    <w:p w14:paraId="6559760C"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es-ES"/>
        </w:rPr>
      </w:pPr>
      <w:r w:rsidRPr="00F506FA">
        <w:rPr>
          <w:rFonts w:ascii="Arial" w:eastAsia="Times New Roman" w:hAnsi="Arial" w:cs="Arial"/>
          <w:sz w:val="24"/>
          <w:szCs w:val="26"/>
          <w:lang w:eastAsia="es-ES"/>
        </w:rPr>
        <w:t>2-</w:t>
      </w:r>
      <w:r w:rsidRPr="00F506FA">
        <w:rPr>
          <w:rFonts w:ascii="Arial" w:eastAsia="Times New Roman" w:hAnsi="Arial" w:cs="Arial"/>
          <w:sz w:val="24"/>
          <w:szCs w:val="26"/>
          <w:lang w:eastAsia="es-ES"/>
        </w:rPr>
        <w:tab/>
        <w:t>En la medida en que el cuestionamiento de los actos administrativos se centra en la notificación por aviso del requerimiento especial efectuada a la dirección registrada en el RUT, la Sala estima pertinente precisar lo siguiente.</w:t>
      </w:r>
    </w:p>
    <w:p w14:paraId="34128B64"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es-ES"/>
        </w:rPr>
      </w:pPr>
    </w:p>
    <w:p w14:paraId="467A5DC9"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es-ES"/>
        </w:rPr>
      </w:pPr>
      <w:r w:rsidRPr="00F506FA">
        <w:rPr>
          <w:rFonts w:ascii="Arial" w:eastAsia="Times New Roman" w:hAnsi="Arial" w:cs="Arial"/>
          <w:sz w:val="24"/>
          <w:szCs w:val="24"/>
          <w:lang w:eastAsia="es-ES"/>
        </w:rPr>
        <w:t>2.1-</w:t>
      </w:r>
      <w:r w:rsidRPr="00F506FA">
        <w:rPr>
          <w:rFonts w:ascii="Arial" w:eastAsia="Times New Roman" w:hAnsi="Arial" w:cs="Arial"/>
          <w:sz w:val="24"/>
          <w:szCs w:val="24"/>
          <w:lang w:eastAsia="es-ES"/>
        </w:rPr>
        <w:tab/>
        <w:t xml:space="preserve">De conformidad con el artículo 565 del ET, los requerimientos especiales pueden ser notificados a través de la red oficial de correos o de cualquier servicio de mensajería especializada «(…) </w:t>
      </w:r>
      <w:r w:rsidRPr="00F506FA">
        <w:rPr>
          <w:rFonts w:ascii="Arial" w:eastAsia="Times New Roman" w:hAnsi="Arial" w:cs="Arial"/>
          <w:i/>
          <w:sz w:val="24"/>
          <w:szCs w:val="24"/>
          <w:lang w:eastAsia="es-ES"/>
        </w:rPr>
        <w:t>mediante entrega de una copia del acto correspondiente en la última dirección informada por el contribuyente, responsable, agente retenedor o declarante en el Registro Único Tributario – RUT</w:t>
      </w:r>
      <w:r w:rsidRPr="00F506FA">
        <w:rPr>
          <w:rFonts w:ascii="Arial" w:eastAsia="Times New Roman" w:hAnsi="Arial" w:cs="Arial"/>
          <w:sz w:val="24"/>
          <w:szCs w:val="24"/>
          <w:lang w:eastAsia="es-ES"/>
        </w:rPr>
        <w:t>».</w:t>
      </w:r>
    </w:p>
    <w:p w14:paraId="5F6CB56B"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es-ES"/>
        </w:rPr>
      </w:pPr>
    </w:p>
    <w:p w14:paraId="6878BC0F"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es-ES"/>
        </w:rPr>
        <w:t xml:space="preserve">En el caso debatido, la actora y la Administración aceptan que el requerimiento especial se intentó notificar por correo a la dirección informada en el RUT, esto es, la </w:t>
      </w:r>
      <w:r w:rsidRPr="00F506FA">
        <w:rPr>
          <w:rFonts w:ascii="Arial" w:eastAsia="Times New Roman" w:hAnsi="Arial" w:cs="Arial"/>
          <w:sz w:val="24"/>
          <w:szCs w:val="24"/>
          <w:lang w:eastAsia="ja-JP"/>
        </w:rPr>
        <w:t>carrera 16 # 43 – 42, barrio San Fernando de Dosquebradas (Risaralda).</w:t>
      </w:r>
    </w:p>
    <w:p w14:paraId="7AD384C1"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ja-JP"/>
        </w:rPr>
      </w:pPr>
    </w:p>
    <w:p w14:paraId="1F98E33D"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es-ES"/>
        </w:rPr>
      </w:pPr>
      <w:r w:rsidRPr="00F506FA">
        <w:rPr>
          <w:rFonts w:ascii="Arial" w:eastAsia="Times New Roman" w:hAnsi="Arial" w:cs="Arial"/>
          <w:sz w:val="24"/>
          <w:szCs w:val="24"/>
          <w:lang w:eastAsia="es-ES"/>
        </w:rPr>
        <w:t>No obstante, el cuestionamiento de la parte actora radica en que, a pesar de que la dirección de notificación era correcta, Servientrega certificó que no pudo entregar la notificación por la causal «</w:t>
      </w:r>
      <w:r w:rsidRPr="00F506FA">
        <w:rPr>
          <w:rFonts w:ascii="Arial" w:eastAsia="Times New Roman" w:hAnsi="Arial" w:cs="Arial"/>
          <w:i/>
          <w:sz w:val="24"/>
          <w:szCs w:val="24"/>
          <w:lang w:eastAsia="es-ES"/>
        </w:rPr>
        <w:t>se trasladó</w:t>
      </w:r>
      <w:r w:rsidRPr="00F506FA">
        <w:rPr>
          <w:rFonts w:ascii="Arial" w:eastAsia="Times New Roman" w:hAnsi="Arial" w:cs="Arial"/>
          <w:sz w:val="24"/>
          <w:szCs w:val="24"/>
          <w:lang w:eastAsia="es-ES"/>
        </w:rPr>
        <w:t>», siendo que, según lo afirmado por el actor, no era cierto que el demandante se hubiere trasladado o que hubiere cambiado la dirección para notificación.</w:t>
      </w:r>
    </w:p>
    <w:p w14:paraId="47527034"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es-ES"/>
        </w:rPr>
      </w:pPr>
    </w:p>
    <w:p w14:paraId="40A75AF3"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es-ES"/>
        </w:rPr>
      </w:pPr>
      <w:r w:rsidRPr="00F506FA">
        <w:rPr>
          <w:rFonts w:ascii="Arial" w:eastAsia="Times New Roman" w:hAnsi="Arial" w:cs="Arial"/>
          <w:sz w:val="24"/>
          <w:szCs w:val="24"/>
          <w:lang w:eastAsia="es-ES"/>
        </w:rPr>
        <w:t>Por su parte, la Administración consideró que estaba facultada para notificar el requerimiento mediante aviso, ya que, conforme al artículo 568 del ET, modificado por el artículo 58 del Decreto Ley 19 de 2012, la devolución del correo, por cualquier razón, habilita la notificación por aviso, siempre que la dirección de notificación empleada haya sido la correcta (la informada en el RUT).</w:t>
      </w:r>
    </w:p>
    <w:p w14:paraId="6F58F0DE"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es-ES"/>
        </w:rPr>
      </w:pPr>
    </w:p>
    <w:p w14:paraId="421D77A0" w14:textId="77777777" w:rsidR="00F506FA" w:rsidRPr="00F506FA" w:rsidRDefault="00F506FA" w:rsidP="00F506FA">
      <w:pPr>
        <w:widowControl w:val="0"/>
        <w:tabs>
          <w:tab w:val="left" w:pos="567"/>
        </w:tabs>
        <w:contextualSpacing/>
        <w:jc w:val="both"/>
        <w:rPr>
          <w:rFonts w:ascii="Arial" w:eastAsia="Times New Roman" w:hAnsi="Arial" w:cs="Arial"/>
          <w:color w:val="002060"/>
          <w:sz w:val="24"/>
          <w:szCs w:val="24"/>
          <w:lang w:eastAsia="es-ES"/>
        </w:rPr>
      </w:pPr>
      <w:r w:rsidRPr="00F506FA">
        <w:rPr>
          <w:rFonts w:ascii="Arial" w:eastAsia="Times New Roman" w:hAnsi="Arial" w:cs="Arial"/>
          <w:sz w:val="24"/>
          <w:szCs w:val="24"/>
          <w:lang w:eastAsia="es-ES"/>
        </w:rPr>
        <w:t>En efecto, una vez agotado el procedimiento para la notificación por correo en aquellos eventos en que el contribuyente ha informado su dirección en el RUT, y siempre que se haya realizado a la dirección correcta, cuando dicha notificación se devuelva «</w:t>
      </w:r>
      <w:r w:rsidRPr="00F506FA">
        <w:rPr>
          <w:rFonts w:ascii="Arial" w:eastAsia="Times New Roman" w:hAnsi="Arial" w:cs="Arial"/>
          <w:i/>
          <w:sz w:val="24"/>
          <w:szCs w:val="24"/>
          <w:lang w:eastAsia="es-ES"/>
        </w:rPr>
        <w:t>por cualquier razón</w:t>
      </w:r>
      <w:r w:rsidRPr="00F506FA">
        <w:rPr>
          <w:rFonts w:ascii="Arial" w:eastAsia="Times New Roman" w:hAnsi="Arial" w:cs="Arial"/>
          <w:sz w:val="24"/>
          <w:szCs w:val="24"/>
          <w:lang w:eastAsia="es-ES"/>
        </w:rPr>
        <w:t>», en aplicación del ya citado artículo 568 del ET, la Administración debe proceder a realizar la notificación mediante aviso, consistente en la «</w:t>
      </w:r>
      <w:r w:rsidRPr="00F506FA">
        <w:rPr>
          <w:rFonts w:ascii="Arial" w:eastAsia="Times New Roman" w:hAnsi="Arial" w:cs="Arial"/>
          <w:i/>
          <w:sz w:val="24"/>
          <w:szCs w:val="24"/>
          <w:lang w:eastAsia="es-ES"/>
        </w:rPr>
        <w:t>transcripción de la parte resolutiva del acto administrativo, en el portal web de la DIAN que incluya mecanismos de búsqueda por número identificación personal y, en todo caso, en un lugar de acceso al público de la misma entidad</w:t>
      </w:r>
      <w:r w:rsidRPr="00F506FA">
        <w:rPr>
          <w:rFonts w:ascii="Arial" w:eastAsia="Times New Roman" w:hAnsi="Arial" w:cs="Arial"/>
          <w:sz w:val="24"/>
          <w:szCs w:val="24"/>
          <w:lang w:eastAsia="es-ES"/>
        </w:rPr>
        <w:t>».</w:t>
      </w:r>
    </w:p>
    <w:p w14:paraId="7F82FC14"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es-ES"/>
        </w:rPr>
      </w:pPr>
    </w:p>
    <w:p w14:paraId="5F0D8BFE"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es-ES"/>
        </w:rPr>
      </w:pPr>
      <w:r w:rsidRPr="00F506FA">
        <w:rPr>
          <w:rFonts w:ascii="Arial" w:eastAsia="Times New Roman" w:hAnsi="Arial" w:cs="Arial"/>
          <w:sz w:val="24"/>
          <w:szCs w:val="24"/>
          <w:lang w:eastAsia="es-ES"/>
        </w:rPr>
        <w:t>3-</w:t>
      </w:r>
      <w:r w:rsidRPr="00F506FA">
        <w:rPr>
          <w:rFonts w:ascii="Arial" w:eastAsia="Times New Roman" w:hAnsi="Arial" w:cs="Arial"/>
          <w:sz w:val="24"/>
          <w:szCs w:val="24"/>
          <w:lang w:eastAsia="es-ES"/>
        </w:rPr>
        <w:tab/>
        <w:t xml:space="preserve">En el caso concreto, la Sala observa que dentro de los antecedentes </w:t>
      </w:r>
      <w:r w:rsidRPr="00F506FA">
        <w:rPr>
          <w:rFonts w:ascii="Arial" w:eastAsia="Times New Roman" w:hAnsi="Arial" w:cs="Arial"/>
          <w:sz w:val="24"/>
          <w:szCs w:val="24"/>
          <w:lang w:eastAsia="es-ES"/>
        </w:rPr>
        <w:lastRenderedPageBreak/>
        <w:t>administrativos que obran en el expediente, se encuentra el reporte de consulta de formularios del RUT del 12 de marzo de 2013, en el que aparece como fecha de inscripción del actor: el 20 de octubre de 2005, con actualizaciones del 27 de mayo de 2008, 27 de agosto de 2010, 29 de agosto de 2012 (f. 130 vto.). Al efecto, el actor identifica como dirección de notificación la carrera 16 43 42, barrio San Fernando del municipio de Dosquebradas.</w:t>
      </w:r>
    </w:p>
    <w:p w14:paraId="25C06B83"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es-ES"/>
        </w:rPr>
      </w:pPr>
    </w:p>
    <w:p w14:paraId="61E94B11"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es-ES"/>
        </w:rPr>
      </w:pPr>
      <w:r w:rsidRPr="00F506FA">
        <w:rPr>
          <w:rFonts w:ascii="Arial" w:eastAsia="Times New Roman" w:hAnsi="Arial" w:cs="Arial"/>
          <w:sz w:val="24"/>
          <w:szCs w:val="24"/>
          <w:lang w:eastAsia="es-ES"/>
        </w:rPr>
        <w:t>La anterior dirección se acompasa con la informada por el contribuyente en el Formulario Único Tributario nro. 14133920777, del 27 de agosto de 2010, en el que aparece como dirección la «</w:t>
      </w:r>
      <w:r w:rsidRPr="00F506FA">
        <w:rPr>
          <w:rFonts w:ascii="Arial" w:eastAsia="Times New Roman" w:hAnsi="Arial" w:cs="Arial"/>
          <w:i/>
          <w:sz w:val="24"/>
          <w:szCs w:val="24"/>
          <w:lang w:eastAsia="es-ES"/>
        </w:rPr>
        <w:t>CR 16 43 42 BRR SN FERNANDO</w:t>
      </w:r>
      <w:r w:rsidRPr="00F506FA">
        <w:rPr>
          <w:rFonts w:ascii="Arial" w:eastAsia="Times New Roman" w:hAnsi="Arial" w:cs="Arial"/>
          <w:sz w:val="24"/>
          <w:szCs w:val="24"/>
          <w:lang w:eastAsia="es-ES"/>
        </w:rPr>
        <w:t xml:space="preserve">», departamento de Risaralda, ciudad/municipio de Dosquebradas (f. 4 </w:t>
      </w:r>
      <w:proofErr w:type="spellStart"/>
      <w:r w:rsidRPr="00F506FA">
        <w:rPr>
          <w:rFonts w:ascii="Arial" w:eastAsia="Times New Roman" w:hAnsi="Arial" w:cs="Arial"/>
          <w:sz w:val="24"/>
          <w:szCs w:val="24"/>
          <w:lang w:val="es-CO" w:eastAsia="es-ES"/>
        </w:rPr>
        <w:t>caa</w:t>
      </w:r>
      <w:proofErr w:type="spellEnd"/>
      <w:r w:rsidRPr="00F506FA">
        <w:rPr>
          <w:rFonts w:ascii="Arial" w:eastAsia="Times New Roman" w:hAnsi="Arial" w:cs="Arial"/>
          <w:sz w:val="24"/>
          <w:szCs w:val="24"/>
          <w:lang w:val="es-CO" w:eastAsia="es-ES"/>
        </w:rPr>
        <w:t>)</w:t>
      </w:r>
      <w:r w:rsidRPr="00F506FA">
        <w:rPr>
          <w:rFonts w:ascii="Arial" w:eastAsia="Times New Roman" w:hAnsi="Arial" w:cs="Arial"/>
          <w:sz w:val="24"/>
          <w:szCs w:val="24"/>
          <w:lang w:eastAsia="es-ES"/>
        </w:rPr>
        <w:t>.</w:t>
      </w:r>
    </w:p>
    <w:p w14:paraId="4DF1BA25"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es-ES"/>
        </w:rPr>
      </w:pPr>
    </w:p>
    <w:p w14:paraId="4D7EF7A8"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es-ES"/>
        </w:rPr>
        <w:t xml:space="preserve">Precisamente esta fue la dirección que identificó </w:t>
      </w:r>
      <w:r w:rsidRPr="00F506FA">
        <w:rPr>
          <w:rFonts w:ascii="Arial" w:eastAsia="Times New Roman" w:hAnsi="Arial" w:cs="Arial"/>
          <w:sz w:val="24"/>
          <w:szCs w:val="24"/>
          <w:lang w:eastAsia="ja-JP"/>
        </w:rPr>
        <w:t xml:space="preserve">la guía de mensajería de Servientrega nro. 1057675015, a efectos de enviar la notificación del </w:t>
      </w:r>
      <w:r w:rsidRPr="00F506FA">
        <w:rPr>
          <w:rFonts w:ascii="Arial" w:eastAsia="Times New Roman" w:hAnsi="Arial" w:cs="Arial"/>
          <w:sz w:val="24"/>
          <w:szCs w:val="24"/>
          <w:lang w:eastAsia="es-ES"/>
        </w:rPr>
        <w:t xml:space="preserve">Requerimiento Especial </w:t>
      </w:r>
      <w:r w:rsidRPr="00F506FA">
        <w:rPr>
          <w:rFonts w:ascii="Arial" w:eastAsia="Times New Roman" w:hAnsi="Arial" w:cs="Arial"/>
          <w:sz w:val="24"/>
          <w:szCs w:val="24"/>
          <w:lang w:eastAsia="ja-JP"/>
        </w:rPr>
        <w:t>nro. 162382012000043, del 31 de mayo de 2012. Dicho correo fue enviado el 01 de junio de 2012 (f. 103), pero no pudo ser entregado por la causal «</w:t>
      </w:r>
      <w:r w:rsidRPr="00F506FA">
        <w:rPr>
          <w:rFonts w:ascii="Arial" w:eastAsia="Times New Roman" w:hAnsi="Arial" w:cs="Arial"/>
          <w:i/>
          <w:sz w:val="24"/>
          <w:szCs w:val="24"/>
          <w:lang w:eastAsia="ja-JP"/>
        </w:rPr>
        <w:t>se trasladó</w:t>
      </w:r>
      <w:r w:rsidRPr="00F506FA">
        <w:rPr>
          <w:rFonts w:ascii="Arial" w:eastAsia="Times New Roman" w:hAnsi="Arial" w:cs="Arial"/>
          <w:sz w:val="24"/>
          <w:szCs w:val="24"/>
          <w:lang w:eastAsia="ja-JP"/>
        </w:rPr>
        <w:t>».</w:t>
      </w:r>
    </w:p>
    <w:p w14:paraId="1AEFB62F"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ja-JP"/>
        </w:rPr>
      </w:pPr>
    </w:p>
    <w:p w14:paraId="792CEDDB"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es-ES"/>
        </w:rPr>
      </w:pPr>
      <w:r w:rsidRPr="00F506FA">
        <w:rPr>
          <w:rFonts w:ascii="Arial" w:eastAsia="Times New Roman" w:hAnsi="Arial" w:cs="Arial"/>
          <w:sz w:val="24"/>
          <w:szCs w:val="24"/>
          <w:lang w:eastAsia="es-ES"/>
        </w:rPr>
        <w:t xml:space="preserve">Comoquiera que está demostrado que el correo de notificación del requerimiento especial fue enviado por la demandada a la dirección correcta, corresponde entonces probar al demandante que no </w:t>
      </w:r>
      <w:r w:rsidRPr="00F506FA">
        <w:rPr>
          <w:rFonts w:ascii="Arial" w:eastAsia="Times New Roman" w:hAnsi="Arial" w:cs="Arial"/>
          <w:i/>
          <w:sz w:val="24"/>
          <w:szCs w:val="24"/>
          <w:lang w:eastAsia="es-ES"/>
        </w:rPr>
        <w:t>«se trasladó»</w:t>
      </w:r>
      <w:r w:rsidRPr="00F506FA">
        <w:rPr>
          <w:rFonts w:ascii="Arial" w:eastAsia="Times New Roman" w:hAnsi="Arial" w:cs="Arial"/>
          <w:sz w:val="24"/>
          <w:szCs w:val="24"/>
          <w:lang w:eastAsia="es-ES"/>
        </w:rPr>
        <w:t xml:space="preserve"> de ese lugar y que la devolución del correo fue irregular. </w:t>
      </w:r>
    </w:p>
    <w:p w14:paraId="4BADE105"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es-ES"/>
        </w:rPr>
      </w:pPr>
    </w:p>
    <w:p w14:paraId="689E5D66"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es-ES"/>
        </w:rPr>
      </w:pPr>
      <w:r w:rsidRPr="00F506FA">
        <w:rPr>
          <w:rFonts w:ascii="Arial" w:eastAsia="Times New Roman" w:hAnsi="Arial" w:cs="Arial"/>
          <w:sz w:val="24"/>
          <w:szCs w:val="24"/>
          <w:lang w:eastAsia="es-ES"/>
        </w:rPr>
        <w:t xml:space="preserve">A efectos de probar la irregularidad en la causal de devolución del correo, el demandante adujo que en la dirección informada funcionó un establecimiento que fue arrendado por él, según constaba en el contrato de arrendamiento. Tal circunstancia demostraba, según su criterio, que para el tiempo en que se envió la notificación del requerimiento él era el arrendatario del local. Sin embargo, tal como lo sostuvo la parte demandada, los documentos aportados por el demandante no lograron demostrar que él fuere arrendatario, como quiera que allí se le identificó como deudor solidario. De esta forma, esas pruebas no fueron concluyentes para determinar que el demandante no se hubiere trasladado de la citada dirección. </w:t>
      </w:r>
    </w:p>
    <w:p w14:paraId="1E71F111"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es-ES"/>
        </w:rPr>
      </w:pPr>
    </w:p>
    <w:p w14:paraId="1439D8F1"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es-ES"/>
        </w:rPr>
      </w:pPr>
      <w:r w:rsidRPr="00F506FA">
        <w:rPr>
          <w:rFonts w:ascii="Arial" w:eastAsia="Times New Roman" w:hAnsi="Arial" w:cs="Arial"/>
          <w:sz w:val="24"/>
          <w:szCs w:val="24"/>
          <w:lang w:eastAsia="es-ES"/>
        </w:rPr>
        <w:t xml:space="preserve">En contraste, el testimonio rendido por el ciudadano Fernando Usma da cuenta de que, en el año 2005, el demandante se trasladó de la carrera 16 43 42, barrio San Fernando al </w:t>
      </w:r>
      <w:r w:rsidRPr="00F506FA">
        <w:rPr>
          <w:rFonts w:ascii="Arial" w:eastAsia="Times New Roman" w:hAnsi="Arial" w:cs="Arial"/>
          <w:i/>
          <w:sz w:val="24"/>
          <w:szCs w:val="24"/>
          <w:lang w:eastAsia="es-ES"/>
        </w:rPr>
        <w:t>«local de enseguida»</w:t>
      </w:r>
      <w:r w:rsidRPr="00F506FA">
        <w:rPr>
          <w:rFonts w:ascii="Arial" w:eastAsia="Times New Roman" w:hAnsi="Arial" w:cs="Arial"/>
          <w:sz w:val="24"/>
          <w:szCs w:val="24"/>
          <w:lang w:eastAsia="es-ES"/>
        </w:rPr>
        <w:t xml:space="preserve">. </w:t>
      </w:r>
    </w:p>
    <w:p w14:paraId="0A445F22"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es-ES"/>
        </w:rPr>
      </w:pPr>
    </w:p>
    <w:p w14:paraId="7C025D0F"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es-ES"/>
        </w:rPr>
      </w:pPr>
      <w:r w:rsidRPr="00F506FA">
        <w:rPr>
          <w:rFonts w:ascii="Arial" w:eastAsia="Times New Roman" w:hAnsi="Arial" w:cs="Arial"/>
          <w:sz w:val="24"/>
          <w:szCs w:val="24"/>
          <w:lang w:eastAsia="es-ES"/>
        </w:rPr>
        <w:t xml:space="preserve">En la audiencia de pruebas del 13 de noviembre de 2014, la magistrada sustanciadora indagó al actor sobre la dirección del </w:t>
      </w:r>
      <w:r w:rsidRPr="00F506FA">
        <w:rPr>
          <w:rFonts w:ascii="Arial" w:eastAsia="Times New Roman" w:hAnsi="Arial" w:cs="Arial"/>
          <w:i/>
          <w:sz w:val="24"/>
          <w:szCs w:val="24"/>
          <w:lang w:eastAsia="es-ES"/>
        </w:rPr>
        <w:t>«local de enseguida»</w:t>
      </w:r>
      <w:r w:rsidRPr="00F506FA">
        <w:rPr>
          <w:rFonts w:ascii="Arial" w:eastAsia="Times New Roman" w:hAnsi="Arial" w:cs="Arial"/>
          <w:sz w:val="24"/>
          <w:szCs w:val="24"/>
          <w:lang w:eastAsia="es-ES"/>
        </w:rPr>
        <w:t xml:space="preserve">, quien le indicó que correspondía a la dirección </w:t>
      </w:r>
      <w:r w:rsidRPr="00F506FA">
        <w:rPr>
          <w:rFonts w:ascii="Arial" w:eastAsia="Times New Roman" w:hAnsi="Arial" w:cs="Arial"/>
          <w:i/>
          <w:sz w:val="24"/>
          <w:szCs w:val="24"/>
          <w:lang w:eastAsia="es-ES"/>
        </w:rPr>
        <w:t>«carrera 16 número 43 42 local 2»</w:t>
      </w:r>
      <w:r w:rsidRPr="00F506FA">
        <w:rPr>
          <w:rFonts w:ascii="Arial" w:eastAsia="Times New Roman" w:hAnsi="Arial" w:cs="Arial"/>
          <w:sz w:val="24"/>
          <w:szCs w:val="24"/>
          <w:lang w:eastAsia="es-ES"/>
        </w:rPr>
        <w:t xml:space="preserve"> (f. 154, ver CD), puesto que el local fue dividido en dos (local 1 y local 2) (f. 3). </w:t>
      </w:r>
    </w:p>
    <w:p w14:paraId="01B9141F"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es-ES"/>
        </w:rPr>
      </w:pPr>
    </w:p>
    <w:p w14:paraId="34458C8E"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es-ES"/>
        </w:rPr>
      </w:pPr>
      <w:r w:rsidRPr="00F506FA">
        <w:rPr>
          <w:rFonts w:ascii="Arial" w:eastAsia="Times New Roman" w:hAnsi="Arial" w:cs="Arial"/>
          <w:sz w:val="24"/>
          <w:szCs w:val="24"/>
          <w:lang w:eastAsia="es-ES"/>
        </w:rPr>
        <w:t>Verificado el expediente, la Sala constata que para cuando se profirió el requerimiento especial (</w:t>
      </w:r>
      <w:r w:rsidRPr="00F506FA">
        <w:rPr>
          <w:rFonts w:ascii="Arial" w:eastAsia="Times New Roman" w:hAnsi="Arial" w:cs="Arial"/>
          <w:sz w:val="24"/>
          <w:szCs w:val="24"/>
          <w:lang w:eastAsia="ja-JP"/>
        </w:rPr>
        <w:t>31 de mayo de 2012</w:t>
      </w:r>
      <w:r w:rsidRPr="00F506FA">
        <w:rPr>
          <w:rFonts w:ascii="Arial" w:eastAsia="Times New Roman" w:hAnsi="Arial" w:cs="Arial"/>
          <w:sz w:val="24"/>
          <w:szCs w:val="24"/>
          <w:lang w:eastAsia="es-ES"/>
        </w:rPr>
        <w:t xml:space="preserve">) e, incluso, para cuando se envió el correo de notificación (01 de junio de 2012), el demandante todavía registraba en su RUT la dirección </w:t>
      </w:r>
      <w:r w:rsidRPr="00F506FA">
        <w:rPr>
          <w:rFonts w:ascii="Arial" w:eastAsia="Times New Roman" w:hAnsi="Arial" w:cs="Arial"/>
          <w:i/>
          <w:sz w:val="24"/>
          <w:szCs w:val="24"/>
          <w:lang w:eastAsia="es-ES"/>
        </w:rPr>
        <w:t>«CR 16 43 42 BRR SN FERNANDO</w:t>
      </w:r>
      <w:r w:rsidRPr="00F506FA">
        <w:rPr>
          <w:rFonts w:ascii="Arial" w:eastAsia="Times New Roman" w:hAnsi="Arial" w:cs="Arial"/>
          <w:sz w:val="24"/>
          <w:szCs w:val="24"/>
          <w:lang w:eastAsia="es-ES"/>
        </w:rPr>
        <w:t xml:space="preserve">» (f. 102 ca), la cual fue actualizada el 29 de agosto de 2012 para registrar la dirección </w:t>
      </w:r>
      <w:r w:rsidRPr="00F506FA">
        <w:rPr>
          <w:rFonts w:ascii="Arial" w:eastAsia="Times New Roman" w:hAnsi="Arial" w:cs="Arial"/>
          <w:i/>
          <w:sz w:val="24"/>
          <w:szCs w:val="24"/>
          <w:lang w:eastAsia="es-ES"/>
        </w:rPr>
        <w:t>«CR 16 43 42 LC 2 BRR SN FERNANDO</w:t>
      </w:r>
      <w:r w:rsidRPr="00F506FA">
        <w:rPr>
          <w:rFonts w:ascii="Arial" w:eastAsia="Times New Roman" w:hAnsi="Arial" w:cs="Arial"/>
          <w:sz w:val="24"/>
          <w:szCs w:val="24"/>
          <w:lang w:eastAsia="es-ES"/>
        </w:rPr>
        <w:t>» (</w:t>
      </w:r>
      <w:proofErr w:type="spellStart"/>
      <w:r w:rsidRPr="00F506FA">
        <w:rPr>
          <w:rFonts w:ascii="Arial" w:eastAsia="Times New Roman" w:hAnsi="Arial" w:cs="Arial"/>
          <w:sz w:val="24"/>
          <w:szCs w:val="24"/>
          <w:lang w:eastAsia="es-ES"/>
        </w:rPr>
        <w:t>ff</w:t>
      </w:r>
      <w:proofErr w:type="spellEnd"/>
      <w:r w:rsidRPr="00F506FA">
        <w:rPr>
          <w:rFonts w:ascii="Arial" w:eastAsia="Times New Roman" w:hAnsi="Arial" w:cs="Arial"/>
          <w:sz w:val="24"/>
          <w:szCs w:val="24"/>
          <w:lang w:eastAsia="es-ES"/>
        </w:rPr>
        <w:t xml:space="preserve">. 3 y 130 vto. ca). </w:t>
      </w:r>
    </w:p>
    <w:p w14:paraId="6B2DEC44"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es-ES"/>
        </w:rPr>
      </w:pPr>
    </w:p>
    <w:p w14:paraId="5BCDE4E3"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es-ES"/>
        </w:rPr>
      </w:pPr>
      <w:r w:rsidRPr="00F506FA">
        <w:rPr>
          <w:rFonts w:ascii="Arial" w:eastAsia="Times New Roman" w:hAnsi="Arial" w:cs="Arial"/>
          <w:sz w:val="24"/>
          <w:szCs w:val="24"/>
          <w:lang w:eastAsia="es-ES"/>
        </w:rPr>
        <w:t xml:space="preserve">Asimismo, se observa que la Administración tributaria envió el correo de notificación del requerimiento especial en el lugar correcto, esto es, a la </w:t>
      </w:r>
      <w:r w:rsidRPr="00F506FA">
        <w:rPr>
          <w:rFonts w:ascii="Arial" w:eastAsia="Times New Roman" w:hAnsi="Arial" w:cs="Arial"/>
          <w:i/>
          <w:sz w:val="24"/>
          <w:szCs w:val="24"/>
          <w:lang w:eastAsia="es-ES"/>
        </w:rPr>
        <w:t>«CR 16 43 42 BRR SN FERNANDO</w:t>
      </w:r>
      <w:r w:rsidRPr="00F506FA">
        <w:rPr>
          <w:rFonts w:ascii="Arial" w:eastAsia="Times New Roman" w:hAnsi="Arial" w:cs="Arial"/>
          <w:sz w:val="24"/>
          <w:szCs w:val="24"/>
          <w:lang w:eastAsia="es-ES"/>
        </w:rPr>
        <w:t>», por ser esta la dirección que para entonces (01 de junio de 2012) estaba registraba en el RUT.</w:t>
      </w:r>
    </w:p>
    <w:p w14:paraId="04D2BFCB"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es-ES"/>
        </w:rPr>
      </w:pPr>
    </w:p>
    <w:p w14:paraId="241494BB"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es-ES"/>
        </w:rPr>
        <w:t xml:space="preserve">Como el correo de notificación enviado a la dirección correcta fue devuelto, la DIAN estaba habilitada para acudir a la notificación supletoria de la publicación por aviso del requerimiento especial, de acuerdo con el artículo 568 del ET, sin que fuere exigible agotar verificaciones adicionales para establecer otra dirección de notificación. De hecho, está demostrado que una vez agotado el procedimiento para la notificación por correo del Requerimiento Especial nro. </w:t>
      </w:r>
      <w:r w:rsidRPr="00F506FA">
        <w:rPr>
          <w:rFonts w:ascii="Arial" w:eastAsia="Times New Roman" w:hAnsi="Arial" w:cs="Arial"/>
          <w:sz w:val="24"/>
          <w:szCs w:val="24"/>
          <w:lang w:eastAsia="ja-JP"/>
        </w:rPr>
        <w:t>162382012000043, del</w:t>
      </w:r>
      <w:r w:rsidRPr="00F506FA">
        <w:rPr>
          <w:rFonts w:ascii="Arial" w:eastAsia="Times New Roman" w:hAnsi="Arial" w:cs="Arial"/>
          <w:sz w:val="24"/>
          <w:szCs w:val="24"/>
          <w:lang w:eastAsia="es-ES"/>
        </w:rPr>
        <w:t xml:space="preserve"> </w:t>
      </w:r>
      <w:r w:rsidRPr="00F506FA">
        <w:rPr>
          <w:rFonts w:ascii="Arial" w:eastAsia="Times New Roman" w:hAnsi="Arial" w:cs="Arial"/>
          <w:sz w:val="24"/>
          <w:szCs w:val="24"/>
          <w:lang w:eastAsia="ja-JP"/>
        </w:rPr>
        <w:t>31 de mayo de 2012, la Administración procedió a notificarlo mediante aviso en el portal web de la entidad el 26 de junio de 2012 (f. 129 ca. vto.).</w:t>
      </w:r>
    </w:p>
    <w:p w14:paraId="449A966F"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es-ES"/>
        </w:rPr>
      </w:pPr>
    </w:p>
    <w:p w14:paraId="798A0B9E"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es-ES"/>
        </w:rPr>
      </w:pPr>
      <w:r w:rsidRPr="00F506FA">
        <w:rPr>
          <w:rFonts w:ascii="Arial" w:eastAsia="Times New Roman" w:hAnsi="Arial" w:cs="Arial"/>
          <w:sz w:val="24"/>
          <w:szCs w:val="24"/>
          <w:lang w:eastAsia="es-ES"/>
        </w:rPr>
        <w:t>En efecto, a pesar de que el artículo 565 del ET prevé la posibilidad de establecer la dirección para notificación mediante verificación directa o mediante la utilización de guías telefónicas, directorios y en general de información oficial, comercial o bancaria, esto aplica para los casos en los cuales no se ha informado una dirección a la Administración, situación distinta a la que se presenta en el caso concreto. Por lo anterior, no le era permitido a la DIAN establecer una dirección distinta a la informada por el propio contribuyente, como lo sugiere el demandante. No prospera el cargo de apelación.</w:t>
      </w:r>
    </w:p>
    <w:p w14:paraId="3FECB0CC" w14:textId="77777777" w:rsidR="00F506FA" w:rsidRPr="00F506FA" w:rsidRDefault="00F506FA" w:rsidP="00F506FA">
      <w:pPr>
        <w:widowControl w:val="0"/>
        <w:tabs>
          <w:tab w:val="left" w:pos="567"/>
        </w:tabs>
        <w:contextualSpacing/>
        <w:jc w:val="both"/>
        <w:rPr>
          <w:rFonts w:ascii="Arial" w:eastAsia="Times New Roman" w:hAnsi="Arial" w:cs="Arial"/>
          <w:sz w:val="24"/>
          <w:szCs w:val="24"/>
          <w:lang w:eastAsia="es-ES"/>
        </w:rPr>
      </w:pPr>
    </w:p>
    <w:p w14:paraId="76475A72" w14:textId="77777777" w:rsidR="00F506FA" w:rsidRPr="00F506FA" w:rsidRDefault="00F506FA" w:rsidP="00F506FA">
      <w:pPr>
        <w:widowControl w:val="0"/>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ja-JP"/>
        </w:rPr>
        <w:t>4-  Sin perjuicio de lo anterior, esta Sala, en aplicación oficiosa del principio de favorabilidad, anulará parcialmente los actos demandados.</w:t>
      </w:r>
    </w:p>
    <w:p w14:paraId="2A65CD8A"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1E8AE001" w14:textId="77777777" w:rsidR="00F506FA" w:rsidRPr="00F506FA" w:rsidRDefault="00F506FA" w:rsidP="00F506FA">
      <w:pPr>
        <w:widowControl w:val="0"/>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ja-JP"/>
        </w:rPr>
        <w:t xml:space="preserve">Lo anterior por cuanto, en el régimen tributario sancionatorio la ley permisiva o favorable, aun cuando sea posterior, se aplica de preferencia a la restrictiva o desfavorable, de conformidad con el artículo 29 de la Constitución y con el artículo 640, parágrafo </w:t>
      </w:r>
      <w:proofErr w:type="gramStart"/>
      <w:r w:rsidRPr="00F506FA">
        <w:rPr>
          <w:rFonts w:ascii="Arial" w:eastAsia="Times New Roman" w:hAnsi="Arial" w:cs="Arial"/>
          <w:sz w:val="24"/>
          <w:szCs w:val="24"/>
          <w:lang w:eastAsia="ja-JP"/>
        </w:rPr>
        <w:t>5.°</w:t>
      </w:r>
      <w:proofErr w:type="gramEnd"/>
      <w:r w:rsidRPr="00F506FA">
        <w:rPr>
          <w:rFonts w:ascii="Arial" w:eastAsia="Times New Roman" w:hAnsi="Arial" w:cs="Arial"/>
          <w:sz w:val="24"/>
          <w:szCs w:val="24"/>
          <w:lang w:eastAsia="ja-JP"/>
        </w:rPr>
        <w:t xml:space="preserve"> del ET (modificado por el artículo 282 de la Ley 1819 de 2016).</w:t>
      </w:r>
    </w:p>
    <w:p w14:paraId="50C05B08"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7E71257C" w14:textId="77777777" w:rsidR="00F506FA" w:rsidRPr="00F506FA" w:rsidRDefault="00F506FA" w:rsidP="00F506FA">
      <w:pPr>
        <w:widowControl w:val="0"/>
        <w:contextualSpacing/>
        <w:jc w:val="both"/>
        <w:rPr>
          <w:rFonts w:ascii="Arial" w:eastAsia="Times New Roman" w:hAnsi="Arial" w:cs="Arial"/>
          <w:sz w:val="24"/>
          <w:szCs w:val="24"/>
          <w:lang w:val="es-CO" w:eastAsia="es-ES_tradnl"/>
        </w:rPr>
      </w:pPr>
      <w:r w:rsidRPr="00F506FA">
        <w:rPr>
          <w:rFonts w:ascii="Arial" w:eastAsia="Times New Roman" w:hAnsi="Arial" w:cs="Arial"/>
          <w:sz w:val="24"/>
          <w:szCs w:val="24"/>
          <w:lang w:eastAsia="ja-JP"/>
        </w:rPr>
        <w:t xml:space="preserve">En tal virtud, se dará aplicación al artículo 288 de la Ley 1819 de 2016 que </w:t>
      </w:r>
      <w:r w:rsidRPr="00F506FA">
        <w:rPr>
          <w:rFonts w:ascii="Arial" w:eastAsia="Times New Roman" w:hAnsi="Arial" w:cs="Arial"/>
          <w:sz w:val="24"/>
          <w:szCs w:val="24"/>
          <w:lang w:eastAsia="ja-JP"/>
        </w:rPr>
        <w:lastRenderedPageBreak/>
        <w:t xml:space="preserve">modificó el artículo 647 del ET, en relación con la sanción por inexactitud, pues pasó de ser del 160 % </w:t>
      </w:r>
      <w:r w:rsidRPr="00F506FA">
        <w:rPr>
          <w:rFonts w:ascii="Arial" w:eastAsia="Times New Roman" w:hAnsi="Arial" w:cs="Arial"/>
          <w:sz w:val="24"/>
          <w:szCs w:val="24"/>
          <w:lang w:val="es-CO" w:eastAsia="es-ES_tradnl"/>
        </w:rPr>
        <w:t xml:space="preserve">de la diferencia entre el saldo a pagar determinado en la liquidación oficial y el declarado por el contribuyente a corresponder al 100 % de dicha base. </w:t>
      </w:r>
    </w:p>
    <w:p w14:paraId="55B7EF3F" w14:textId="77777777" w:rsidR="00F506FA" w:rsidRPr="00F506FA" w:rsidRDefault="00F506FA" w:rsidP="00F506FA">
      <w:pPr>
        <w:widowControl w:val="0"/>
        <w:contextualSpacing/>
        <w:jc w:val="both"/>
        <w:rPr>
          <w:rFonts w:ascii="Arial" w:eastAsia="Times New Roman" w:hAnsi="Arial" w:cs="Arial"/>
          <w:sz w:val="24"/>
          <w:szCs w:val="24"/>
          <w:lang w:val="es-CO" w:eastAsia="es-ES_tradnl"/>
        </w:rPr>
      </w:pPr>
    </w:p>
    <w:p w14:paraId="0C621EA1" w14:textId="77777777" w:rsidR="00F506FA" w:rsidRPr="00F506FA" w:rsidRDefault="00F506FA" w:rsidP="00F506FA">
      <w:pPr>
        <w:widowControl w:val="0"/>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ja-JP"/>
        </w:rPr>
        <w:t>Es de anotar que aunque el artículo 376 de la Ley 1819 derogó expresamente el artículo 197 de la Ley 1607, tal derogatoria no impide aplicar la sanción por inexactitud del 100 %, esto es, la más favorable, pues, como se advirtió, la Ley 1819 ratificó la aplicación del principio de favorabilidad en materia sancionatoria incluso cuando la ley favorable sea posterior. Por tanto, se recalculará la sanción por inexactitud sobre el 100 % de la diferencia entre el saldo a pagar determinado por la DIAN y el declarado por el demandante, así:</w:t>
      </w:r>
    </w:p>
    <w:p w14:paraId="2B3DB8B1" w14:textId="77777777" w:rsidR="00F506FA" w:rsidRPr="00F506FA" w:rsidRDefault="00F506FA" w:rsidP="00F506FA">
      <w:pPr>
        <w:widowControl w:val="0"/>
        <w:contextualSpacing/>
        <w:jc w:val="both"/>
        <w:rPr>
          <w:rFonts w:ascii="Arial" w:eastAsia="Times New Roman" w:hAnsi="Arial" w:cs="Arial"/>
          <w:sz w:val="24"/>
          <w:szCs w:val="24"/>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7"/>
        <w:gridCol w:w="4306"/>
      </w:tblGrid>
      <w:tr w:rsidR="00F506FA" w:rsidRPr="00F506FA" w14:paraId="0A2E81FB" w14:textId="77777777" w:rsidTr="001A5D86">
        <w:trPr>
          <w:trHeight w:val="173"/>
          <w:jc w:val="center"/>
        </w:trPr>
        <w:tc>
          <w:tcPr>
            <w:tcW w:w="4489" w:type="dxa"/>
            <w:shd w:val="clear" w:color="auto" w:fill="auto"/>
          </w:tcPr>
          <w:p w14:paraId="79E32C99" w14:textId="77777777" w:rsidR="00F506FA" w:rsidRPr="00F506FA" w:rsidRDefault="00F506FA" w:rsidP="00F506FA">
            <w:pPr>
              <w:widowControl w:val="0"/>
              <w:rPr>
                <w:rFonts w:ascii="Arial" w:eastAsia="Times New Roman" w:hAnsi="Arial" w:cs="Arial"/>
                <w:iCs/>
                <w:sz w:val="16"/>
                <w:szCs w:val="16"/>
                <w:lang w:val="es-CO" w:eastAsia="es-ES_tradnl"/>
              </w:rPr>
            </w:pPr>
            <w:r w:rsidRPr="00F506FA">
              <w:rPr>
                <w:rFonts w:ascii="Arial" w:eastAsia="Times New Roman" w:hAnsi="Arial" w:cs="Arial"/>
                <w:iCs/>
                <w:sz w:val="16"/>
                <w:szCs w:val="16"/>
                <w:lang w:val="es-CO" w:eastAsia="es-ES_tradnl"/>
              </w:rPr>
              <w:t>Saldo a pagar según liquidación oficial</w:t>
            </w:r>
          </w:p>
        </w:tc>
        <w:tc>
          <w:tcPr>
            <w:tcW w:w="4862" w:type="dxa"/>
            <w:shd w:val="clear" w:color="auto" w:fill="auto"/>
          </w:tcPr>
          <w:p w14:paraId="1B32E2AB" w14:textId="77777777" w:rsidR="00F506FA" w:rsidRPr="00F506FA" w:rsidRDefault="00F506FA" w:rsidP="00F506FA">
            <w:pPr>
              <w:widowControl w:val="0"/>
              <w:jc w:val="right"/>
              <w:rPr>
                <w:rFonts w:ascii="Arial" w:eastAsia="Times New Roman" w:hAnsi="Arial" w:cs="Arial"/>
                <w:iCs/>
                <w:sz w:val="16"/>
                <w:szCs w:val="16"/>
                <w:lang w:val="es-CO" w:eastAsia="es-ES_tradnl"/>
              </w:rPr>
            </w:pPr>
            <w:r w:rsidRPr="00F506FA">
              <w:rPr>
                <w:rFonts w:ascii="Arial" w:eastAsia="Times New Roman" w:hAnsi="Arial" w:cs="Arial"/>
                <w:iCs/>
                <w:sz w:val="16"/>
                <w:szCs w:val="16"/>
                <w:lang w:val="es-CO" w:eastAsia="es-ES_tradnl"/>
              </w:rPr>
              <w:t>$153.321.000</w:t>
            </w:r>
          </w:p>
        </w:tc>
      </w:tr>
      <w:tr w:rsidR="00F506FA" w:rsidRPr="00F506FA" w14:paraId="50E51EBD" w14:textId="77777777" w:rsidTr="001A5D86">
        <w:trPr>
          <w:trHeight w:val="106"/>
          <w:jc w:val="center"/>
        </w:trPr>
        <w:tc>
          <w:tcPr>
            <w:tcW w:w="4489" w:type="dxa"/>
            <w:shd w:val="clear" w:color="auto" w:fill="auto"/>
          </w:tcPr>
          <w:p w14:paraId="353D3514" w14:textId="77777777" w:rsidR="00F506FA" w:rsidRPr="00F506FA" w:rsidRDefault="00F506FA" w:rsidP="00F506FA">
            <w:pPr>
              <w:widowControl w:val="0"/>
              <w:rPr>
                <w:rFonts w:ascii="Arial" w:eastAsia="Times New Roman" w:hAnsi="Arial" w:cs="Arial"/>
                <w:iCs/>
                <w:sz w:val="16"/>
                <w:szCs w:val="16"/>
                <w:lang w:val="es-CO" w:eastAsia="es-ES_tradnl"/>
              </w:rPr>
            </w:pPr>
            <w:r w:rsidRPr="00F506FA">
              <w:rPr>
                <w:rFonts w:ascii="Arial" w:eastAsia="Times New Roman" w:hAnsi="Arial" w:cs="Arial"/>
                <w:iCs/>
                <w:sz w:val="16"/>
                <w:szCs w:val="16"/>
                <w:lang w:val="es-CO" w:eastAsia="es-ES_tradnl"/>
              </w:rPr>
              <w:t xml:space="preserve">Saldo a pagar  según liquidación privada </w:t>
            </w:r>
          </w:p>
        </w:tc>
        <w:tc>
          <w:tcPr>
            <w:tcW w:w="4862" w:type="dxa"/>
            <w:shd w:val="clear" w:color="auto" w:fill="auto"/>
          </w:tcPr>
          <w:p w14:paraId="082A1144" w14:textId="77777777" w:rsidR="00F506FA" w:rsidRPr="00F506FA" w:rsidRDefault="00F506FA" w:rsidP="00F506FA">
            <w:pPr>
              <w:widowControl w:val="0"/>
              <w:jc w:val="right"/>
              <w:rPr>
                <w:rFonts w:ascii="Arial" w:eastAsia="Times New Roman" w:hAnsi="Arial" w:cs="Arial"/>
                <w:iCs/>
                <w:sz w:val="16"/>
                <w:szCs w:val="16"/>
                <w:lang w:val="es-CO" w:eastAsia="es-ES_tradnl"/>
              </w:rPr>
            </w:pPr>
            <w:r w:rsidRPr="00F506FA">
              <w:rPr>
                <w:rFonts w:ascii="Arial" w:eastAsia="Times New Roman" w:hAnsi="Arial" w:cs="Arial"/>
                <w:iCs/>
                <w:sz w:val="16"/>
                <w:szCs w:val="16"/>
                <w:lang w:val="es-CO" w:eastAsia="es-ES_tradnl"/>
              </w:rPr>
              <w:t>$618.000</w:t>
            </w:r>
          </w:p>
        </w:tc>
      </w:tr>
      <w:tr w:rsidR="00F506FA" w:rsidRPr="00F506FA" w14:paraId="05F13634" w14:textId="77777777" w:rsidTr="001A5D86">
        <w:trPr>
          <w:trHeight w:val="194"/>
          <w:jc w:val="center"/>
        </w:trPr>
        <w:tc>
          <w:tcPr>
            <w:tcW w:w="4489" w:type="dxa"/>
            <w:shd w:val="clear" w:color="auto" w:fill="auto"/>
          </w:tcPr>
          <w:p w14:paraId="00D92BFB" w14:textId="77777777" w:rsidR="00F506FA" w:rsidRPr="00F506FA" w:rsidRDefault="00F506FA" w:rsidP="00F506FA">
            <w:pPr>
              <w:widowControl w:val="0"/>
              <w:rPr>
                <w:rFonts w:ascii="Arial" w:eastAsia="Times New Roman" w:hAnsi="Arial" w:cs="Arial"/>
                <w:iCs/>
                <w:sz w:val="16"/>
                <w:szCs w:val="16"/>
                <w:lang w:val="es-CO" w:eastAsia="es-ES_tradnl"/>
              </w:rPr>
            </w:pPr>
            <w:r w:rsidRPr="00F506FA">
              <w:rPr>
                <w:rFonts w:ascii="Arial" w:eastAsia="Times New Roman" w:hAnsi="Arial" w:cs="Arial"/>
                <w:iCs/>
                <w:sz w:val="16"/>
                <w:szCs w:val="16"/>
                <w:lang w:val="es-CO" w:eastAsia="es-ES_tradnl"/>
              </w:rPr>
              <w:t>Diferencia</w:t>
            </w:r>
          </w:p>
        </w:tc>
        <w:tc>
          <w:tcPr>
            <w:tcW w:w="4862" w:type="dxa"/>
            <w:shd w:val="clear" w:color="auto" w:fill="auto"/>
          </w:tcPr>
          <w:p w14:paraId="2678DE34" w14:textId="77777777" w:rsidR="00F506FA" w:rsidRPr="00F506FA" w:rsidRDefault="00F506FA" w:rsidP="00F506FA">
            <w:pPr>
              <w:widowControl w:val="0"/>
              <w:jc w:val="right"/>
              <w:rPr>
                <w:rFonts w:ascii="Arial" w:eastAsia="Times New Roman" w:hAnsi="Arial" w:cs="Arial"/>
                <w:iCs/>
                <w:sz w:val="16"/>
                <w:szCs w:val="16"/>
                <w:lang w:val="es-CO" w:eastAsia="es-ES_tradnl"/>
              </w:rPr>
            </w:pPr>
            <w:r w:rsidRPr="00F506FA">
              <w:rPr>
                <w:rFonts w:ascii="Arial" w:eastAsia="Times New Roman" w:hAnsi="Arial" w:cs="Arial"/>
                <w:iCs/>
                <w:sz w:val="16"/>
                <w:szCs w:val="16"/>
                <w:lang w:val="es-CO" w:eastAsia="es-ES_tradnl"/>
              </w:rPr>
              <w:t>$152.703.000</w:t>
            </w:r>
          </w:p>
        </w:tc>
      </w:tr>
      <w:tr w:rsidR="00F506FA" w:rsidRPr="00F506FA" w14:paraId="69F16FE9" w14:textId="77777777" w:rsidTr="001A5D86">
        <w:trPr>
          <w:trHeight w:val="126"/>
          <w:jc w:val="center"/>
        </w:trPr>
        <w:tc>
          <w:tcPr>
            <w:tcW w:w="4489" w:type="dxa"/>
            <w:shd w:val="clear" w:color="auto" w:fill="auto"/>
          </w:tcPr>
          <w:p w14:paraId="11B9288C" w14:textId="77777777" w:rsidR="00F506FA" w:rsidRPr="00F506FA" w:rsidRDefault="00F506FA" w:rsidP="00F506FA">
            <w:pPr>
              <w:widowControl w:val="0"/>
              <w:rPr>
                <w:rFonts w:ascii="Arial" w:eastAsia="Times New Roman" w:hAnsi="Arial" w:cs="Arial"/>
                <w:iCs/>
                <w:sz w:val="16"/>
                <w:szCs w:val="16"/>
                <w:lang w:val="es-CO" w:eastAsia="es-ES_tradnl"/>
              </w:rPr>
            </w:pPr>
            <w:r w:rsidRPr="00F506FA">
              <w:rPr>
                <w:rFonts w:ascii="Arial" w:eastAsia="Times New Roman" w:hAnsi="Arial" w:cs="Arial"/>
                <w:iCs/>
                <w:sz w:val="16"/>
                <w:szCs w:val="16"/>
                <w:lang w:val="es-CO" w:eastAsia="es-ES_tradnl"/>
              </w:rPr>
              <w:t>Porcentaje</w:t>
            </w:r>
          </w:p>
        </w:tc>
        <w:tc>
          <w:tcPr>
            <w:tcW w:w="4862" w:type="dxa"/>
            <w:shd w:val="clear" w:color="auto" w:fill="auto"/>
          </w:tcPr>
          <w:p w14:paraId="07552ECF" w14:textId="77777777" w:rsidR="00F506FA" w:rsidRPr="00F506FA" w:rsidRDefault="00F506FA" w:rsidP="00F506FA">
            <w:pPr>
              <w:widowControl w:val="0"/>
              <w:jc w:val="right"/>
              <w:rPr>
                <w:rFonts w:ascii="Arial" w:eastAsia="Times New Roman" w:hAnsi="Arial" w:cs="Arial"/>
                <w:iCs/>
                <w:sz w:val="16"/>
                <w:szCs w:val="16"/>
                <w:lang w:val="es-CO" w:eastAsia="es-ES_tradnl"/>
              </w:rPr>
            </w:pPr>
            <w:r w:rsidRPr="00F506FA">
              <w:rPr>
                <w:rFonts w:ascii="Arial" w:eastAsia="Times New Roman" w:hAnsi="Arial" w:cs="Arial"/>
                <w:iCs/>
                <w:sz w:val="16"/>
                <w:szCs w:val="16"/>
                <w:lang w:val="es-CO" w:eastAsia="es-ES_tradnl"/>
              </w:rPr>
              <w:t>100 %</w:t>
            </w:r>
          </w:p>
        </w:tc>
      </w:tr>
      <w:tr w:rsidR="00F506FA" w:rsidRPr="00F506FA" w14:paraId="515F2869" w14:textId="77777777" w:rsidTr="001A5D86">
        <w:trPr>
          <w:trHeight w:val="200"/>
          <w:jc w:val="center"/>
        </w:trPr>
        <w:tc>
          <w:tcPr>
            <w:tcW w:w="4489" w:type="dxa"/>
            <w:shd w:val="clear" w:color="auto" w:fill="auto"/>
          </w:tcPr>
          <w:p w14:paraId="6E5F2262" w14:textId="77777777" w:rsidR="00F506FA" w:rsidRPr="00F506FA" w:rsidRDefault="00F506FA" w:rsidP="00F506FA">
            <w:pPr>
              <w:widowControl w:val="0"/>
              <w:rPr>
                <w:rFonts w:ascii="Arial" w:eastAsia="Times New Roman" w:hAnsi="Arial" w:cs="Arial"/>
                <w:iCs/>
                <w:sz w:val="16"/>
                <w:szCs w:val="16"/>
                <w:lang w:val="es-CO" w:eastAsia="es-ES_tradnl"/>
              </w:rPr>
            </w:pPr>
            <w:r w:rsidRPr="00F506FA">
              <w:rPr>
                <w:rFonts w:ascii="Arial" w:eastAsia="Times New Roman" w:hAnsi="Arial" w:cs="Arial"/>
                <w:iCs/>
                <w:sz w:val="16"/>
                <w:szCs w:val="16"/>
                <w:lang w:val="es-CO" w:eastAsia="es-ES_tradnl"/>
              </w:rPr>
              <w:t>Sanción por inexactitud</w:t>
            </w:r>
          </w:p>
        </w:tc>
        <w:tc>
          <w:tcPr>
            <w:tcW w:w="4862" w:type="dxa"/>
            <w:shd w:val="clear" w:color="auto" w:fill="auto"/>
          </w:tcPr>
          <w:p w14:paraId="52B6FEF0" w14:textId="77777777" w:rsidR="00F506FA" w:rsidRPr="00F506FA" w:rsidRDefault="00F506FA" w:rsidP="00F506FA">
            <w:pPr>
              <w:widowControl w:val="0"/>
              <w:jc w:val="right"/>
              <w:rPr>
                <w:rFonts w:ascii="Arial" w:eastAsia="Times New Roman" w:hAnsi="Arial" w:cs="Arial"/>
                <w:b/>
                <w:iCs/>
                <w:sz w:val="16"/>
                <w:szCs w:val="16"/>
                <w:lang w:val="es-CO" w:eastAsia="es-ES_tradnl"/>
              </w:rPr>
            </w:pPr>
            <w:r w:rsidRPr="00F506FA">
              <w:rPr>
                <w:rFonts w:ascii="Arial" w:eastAsia="Times New Roman" w:hAnsi="Arial" w:cs="Arial"/>
                <w:b/>
                <w:iCs/>
                <w:sz w:val="16"/>
                <w:szCs w:val="16"/>
                <w:lang w:val="es-CO" w:eastAsia="es-ES_tradnl"/>
              </w:rPr>
              <w:t>$152.703.000</w:t>
            </w:r>
          </w:p>
        </w:tc>
      </w:tr>
    </w:tbl>
    <w:p w14:paraId="4A9E1B36"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2E86C301" w14:textId="77777777" w:rsidR="00F506FA" w:rsidRPr="00F506FA" w:rsidRDefault="00F506FA" w:rsidP="00F506FA">
      <w:pPr>
        <w:jc w:val="both"/>
        <w:rPr>
          <w:rFonts w:ascii="Arial" w:eastAsia="Times New Roman" w:hAnsi="Arial" w:cs="Arial"/>
          <w:bCs/>
          <w:sz w:val="24"/>
          <w:szCs w:val="24"/>
          <w:lang w:val="es-CO" w:eastAsia="es-ES_tradnl"/>
        </w:rPr>
      </w:pPr>
      <w:r w:rsidRPr="00F506FA">
        <w:rPr>
          <w:rFonts w:ascii="Arial" w:eastAsia="Times New Roman" w:hAnsi="Arial" w:cs="Arial"/>
          <w:sz w:val="24"/>
          <w:szCs w:val="24"/>
          <w:lang w:eastAsia="ja-JP"/>
        </w:rPr>
        <w:t xml:space="preserve">5-  </w:t>
      </w:r>
      <w:r w:rsidRPr="00F506FA">
        <w:rPr>
          <w:rFonts w:ascii="Arial" w:eastAsia="Times New Roman" w:hAnsi="Arial" w:cs="Arial"/>
          <w:bCs/>
          <w:sz w:val="24"/>
          <w:szCs w:val="24"/>
          <w:lang w:val="es-CO" w:eastAsia="es-ES_tradnl"/>
        </w:rPr>
        <w:t>Como consecuencia de lo anterior, la Sala revocará el numeral 1 de la sentencia apelada, para, en su lugar, anulará, parcialmente, los actos demandados en lo referente a la sanción impuesta y, a título de restablecimiento del derecho, fijará como sanción por inexactitud la suma de $152.703.000, de acuerdo con lo expuesto.</w:t>
      </w:r>
    </w:p>
    <w:p w14:paraId="02F3D5C8" w14:textId="77777777" w:rsidR="00F506FA" w:rsidRPr="00F506FA" w:rsidRDefault="00F506FA" w:rsidP="00F506FA">
      <w:pPr>
        <w:jc w:val="both"/>
        <w:rPr>
          <w:rFonts w:ascii="Arial" w:eastAsia="Times New Roman" w:hAnsi="Arial" w:cs="Arial"/>
          <w:bCs/>
          <w:sz w:val="24"/>
          <w:szCs w:val="24"/>
          <w:lang w:val="es-CO" w:eastAsia="es-ES_tradnl"/>
        </w:rPr>
      </w:pPr>
    </w:p>
    <w:p w14:paraId="5F5D1A05" w14:textId="77777777" w:rsidR="00F506FA" w:rsidRPr="00F506FA" w:rsidRDefault="00F506FA" w:rsidP="00F506FA">
      <w:pPr>
        <w:jc w:val="both"/>
        <w:rPr>
          <w:rFonts w:ascii="Arial" w:eastAsia="Times New Roman" w:hAnsi="Arial" w:cs="Arial"/>
          <w:bCs/>
          <w:sz w:val="24"/>
          <w:szCs w:val="24"/>
          <w:lang w:val="es-CO" w:eastAsia="es-ES_tradnl"/>
        </w:rPr>
      </w:pPr>
      <w:r w:rsidRPr="00F506FA">
        <w:rPr>
          <w:rFonts w:ascii="Arial" w:eastAsia="Times New Roman" w:hAnsi="Arial" w:cs="Arial"/>
          <w:bCs/>
          <w:sz w:val="24"/>
          <w:szCs w:val="24"/>
          <w:lang w:val="es-CO" w:eastAsia="es-ES_tradnl"/>
        </w:rPr>
        <w:t>En todo lo demás, se confirmará la providencia de primer grado.</w:t>
      </w:r>
    </w:p>
    <w:p w14:paraId="11BC0CC9" w14:textId="77777777" w:rsidR="00F506FA" w:rsidRPr="00F506FA" w:rsidRDefault="00F506FA" w:rsidP="00F506FA">
      <w:pPr>
        <w:jc w:val="both"/>
        <w:rPr>
          <w:rFonts w:ascii="Arial" w:eastAsia="Times New Roman" w:hAnsi="Arial" w:cs="Arial"/>
          <w:bCs/>
          <w:sz w:val="24"/>
          <w:szCs w:val="24"/>
          <w:lang w:val="es-CO" w:eastAsia="es-ES_tradnl"/>
        </w:rPr>
      </w:pPr>
    </w:p>
    <w:p w14:paraId="764332C3" w14:textId="77777777" w:rsidR="00F506FA" w:rsidRPr="00F506FA" w:rsidRDefault="00F506FA" w:rsidP="00F506FA">
      <w:pPr>
        <w:widowControl w:val="0"/>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ja-JP"/>
        </w:rPr>
        <w:t xml:space="preserve">6-  </w:t>
      </w:r>
      <w:r w:rsidRPr="00F506FA">
        <w:rPr>
          <w:rFonts w:ascii="Arial" w:eastAsia="Times New Roman" w:hAnsi="Arial" w:cs="Arial"/>
          <w:sz w:val="24"/>
          <w:szCs w:val="24"/>
          <w:lang w:val="es-CO" w:eastAsia="es-ES_tradnl"/>
        </w:rPr>
        <w:t>Finalmente, se señala que no se impondrá condena en costas, en esta instancia, en la medida en que no se observa ningún elemento de prueba que demuestre su procedencia.</w:t>
      </w:r>
    </w:p>
    <w:p w14:paraId="0AFF6871"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0356656F" w14:textId="77777777" w:rsidR="00F506FA" w:rsidRPr="00F506FA" w:rsidRDefault="00F506FA" w:rsidP="00F506FA">
      <w:pPr>
        <w:widowControl w:val="0"/>
        <w:contextualSpacing/>
        <w:jc w:val="both"/>
        <w:rPr>
          <w:rFonts w:ascii="Arial" w:eastAsia="Times New Roman" w:hAnsi="Arial" w:cs="Arial"/>
          <w:sz w:val="24"/>
          <w:szCs w:val="24"/>
          <w:lang w:eastAsia="es-ES"/>
        </w:rPr>
      </w:pPr>
    </w:p>
    <w:p w14:paraId="247E1783" w14:textId="77777777" w:rsidR="00F506FA" w:rsidRPr="00F506FA" w:rsidRDefault="00F506FA" w:rsidP="00F506FA">
      <w:pPr>
        <w:widowControl w:val="0"/>
        <w:contextualSpacing/>
        <w:jc w:val="both"/>
        <w:rPr>
          <w:rFonts w:ascii="Arial" w:eastAsia="Times New Roman" w:hAnsi="Arial" w:cs="Arial"/>
          <w:sz w:val="24"/>
          <w:szCs w:val="24"/>
          <w:lang w:eastAsia="ja-JP"/>
        </w:rPr>
      </w:pPr>
      <w:r w:rsidRPr="00F506FA">
        <w:rPr>
          <w:rFonts w:ascii="Arial" w:eastAsia="Times New Roman" w:hAnsi="Arial" w:cs="Arial"/>
          <w:sz w:val="24"/>
          <w:szCs w:val="24"/>
          <w:lang w:eastAsia="ja-JP"/>
        </w:rPr>
        <w:t>En mérito de lo expuesto, el Consejo de Estado, Sala de lo Contencioso Administrativo, Sección Cuarta, administrando justicia en nombre de la República de Colombia y por autoridad de la ley,</w:t>
      </w:r>
    </w:p>
    <w:p w14:paraId="1458BB4F"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2B167A73" w14:textId="77777777" w:rsidR="00F506FA" w:rsidRPr="00F506FA" w:rsidRDefault="00F506FA" w:rsidP="00F506FA">
      <w:pPr>
        <w:widowControl w:val="0"/>
        <w:contextualSpacing/>
        <w:jc w:val="both"/>
        <w:rPr>
          <w:rFonts w:ascii="Arial" w:eastAsia="Times New Roman" w:hAnsi="Arial" w:cs="Arial"/>
          <w:sz w:val="24"/>
          <w:szCs w:val="24"/>
          <w:lang w:eastAsia="ja-JP"/>
        </w:rPr>
      </w:pPr>
    </w:p>
    <w:p w14:paraId="186462D3" w14:textId="77777777" w:rsidR="00F506FA" w:rsidRPr="00F506FA" w:rsidRDefault="00F506FA" w:rsidP="00F506FA">
      <w:pPr>
        <w:widowControl w:val="0"/>
        <w:overflowPunct w:val="0"/>
        <w:autoSpaceDE w:val="0"/>
        <w:autoSpaceDN w:val="0"/>
        <w:adjustRightInd w:val="0"/>
        <w:contextualSpacing/>
        <w:jc w:val="center"/>
        <w:textAlignment w:val="baseline"/>
        <w:rPr>
          <w:rFonts w:ascii="Arial" w:eastAsia="Times New Roman" w:hAnsi="Arial" w:cs="Arial"/>
          <w:b/>
          <w:sz w:val="24"/>
          <w:szCs w:val="24"/>
          <w:lang w:eastAsia="ja-JP"/>
        </w:rPr>
      </w:pPr>
      <w:r w:rsidRPr="00F506FA">
        <w:rPr>
          <w:rFonts w:ascii="Arial" w:eastAsia="Times New Roman" w:hAnsi="Arial" w:cs="Arial"/>
          <w:b/>
          <w:sz w:val="24"/>
          <w:szCs w:val="24"/>
          <w:lang w:eastAsia="ja-JP"/>
        </w:rPr>
        <w:t>FALLA</w:t>
      </w:r>
    </w:p>
    <w:p w14:paraId="5E2FF258" w14:textId="77777777" w:rsidR="00F506FA" w:rsidRPr="00F506FA" w:rsidRDefault="00F506FA" w:rsidP="00F506FA">
      <w:pPr>
        <w:widowControl w:val="0"/>
        <w:pBdr>
          <w:top w:val="nil"/>
          <w:left w:val="nil"/>
          <w:bottom w:val="nil"/>
          <w:right w:val="nil"/>
          <w:between w:val="nil"/>
          <w:bar w:val="nil"/>
        </w:pBdr>
        <w:contextualSpacing/>
        <w:jc w:val="both"/>
        <w:rPr>
          <w:rFonts w:ascii="Arial" w:eastAsia="Arial Unicode MS" w:hAnsi="Arial" w:cs="Arial"/>
          <w:sz w:val="24"/>
          <w:szCs w:val="24"/>
          <w:u w:color="000000"/>
          <w:bdr w:val="nil"/>
          <w:lang w:eastAsia="es-CO"/>
        </w:rPr>
      </w:pPr>
    </w:p>
    <w:p w14:paraId="707114EC" w14:textId="77777777" w:rsidR="00F506FA" w:rsidRPr="00F506FA" w:rsidRDefault="00F506FA" w:rsidP="00F506FA">
      <w:pPr>
        <w:widowControl w:val="0"/>
        <w:pBdr>
          <w:top w:val="nil"/>
          <w:left w:val="nil"/>
          <w:bottom w:val="nil"/>
          <w:right w:val="nil"/>
          <w:between w:val="nil"/>
          <w:bar w:val="nil"/>
        </w:pBdr>
        <w:contextualSpacing/>
        <w:jc w:val="both"/>
        <w:rPr>
          <w:rFonts w:ascii="Arial" w:eastAsia="Arial Unicode MS" w:hAnsi="Arial" w:cs="Arial"/>
          <w:sz w:val="24"/>
          <w:szCs w:val="24"/>
          <w:u w:color="000000"/>
          <w:bdr w:val="nil"/>
          <w:lang w:eastAsia="es-CO"/>
        </w:rPr>
      </w:pPr>
    </w:p>
    <w:p w14:paraId="3D3CA4B6" w14:textId="77777777" w:rsidR="00F506FA" w:rsidRPr="00F506FA" w:rsidRDefault="00F506FA" w:rsidP="00F506FA">
      <w:pPr>
        <w:widowControl w:val="0"/>
        <w:numPr>
          <w:ilvl w:val="0"/>
          <w:numId w:val="1"/>
        </w:numPr>
        <w:tabs>
          <w:tab w:val="left" w:pos="567"/>
        </w:tabs>
        <w:autoSpaceDE w:val="0"/>
        <w:autoSpaceDN w:val="0"/>
        <w:ind w:left="15" w:hanging="15"/>
        <w:contextualSpacing/>
        <w:jc w:val="both"/>
        <w:textAlignment w:val="baseline"/>
        <w:rPr>
          <w:rFonts w:ascii="Arial" w:eastAsia="Times New Roman" w:hAnsi="Arial" w:cs="Arial"/>
          <w:sz w:val="24"/>
          <w:szCs w:val="24"/>
          <w:lang w:val="es-ES_tradnl" w:eastAsia="es-ES_tradnl" w:bidi="he-IL"/>
        </w:rPr>
      </w:pPr>
      <w:r w:rsidRPr="00F506FA">
        <w:rPr>
          <w:rFonts w:ascii="Arial" w:eastAsia="Times New Roman" w:hAnsi="Arial" w:cs="Arial"/>
          <w:b/>
          <w:color w:val="000000"/>
          <w:sz w:val="24"/>
          <w:szCs w:val="24"/>
          <w:lang w:val="es-ES_tradnl" w:eastAsia="es-ES_tradnl" w:bidi="he-IL"/>
        </w:rPr>
        <w:t>R</w:t>
      </w:r>
      <w:r w:rsidRPr="00F506FA">
        <w:rPr>
          <w:rFonts w:ascii="Arial" w:eastAsia="Times New Roman" w:hAnsi="Arial" w:cs="Arial"/>
          <w:b/>
          <w:sz w:val="24"/>
          <w:szCs w:val="24"/>
          <w:lang w:val="es-ES_tradnl" w:eastAsia="es-ES_tradnl" w:bidi="he-IL"/>
        </w:rPr>
        <w:t>evocar</w:t>
      </w:r>
      <w:r w:rsidRPr="00F506FA">
        <w:rPr>
          <w:rFonts w:ascii="Arial" w:eastAsia="Times New Roman" w:hAnsi="Arial" w:cs="Arial"/>
          <w:b/>
          <w:color w:val="000000"/>
          <w:sz w:val="24"/>
          <w:szCs w:val="24"/>
          <w:lang w:val="es-ES_tradnl" w:eastAsia="es-ES_tradnl" w:bidi="he-IL"/>
        </w:rPr>
        <w:t xml:space="preserve"> </w:t>
      </w:r>
      <w:r w:rsidRPr="00F506FA">
        <w:rPr>
          <w:rFonts w:ascii="Arial" w:eastAsia="Times New Roman" w:hAnsi="Arial" w:cs="Arial"/>
          <w:color w:val="000000"/>
          <w:sz w:val="24"/>
          <w:szCs w:val="24"/>
          <w:lang w:val="es-ES_tradnl" w:eastAsia="es-ES_tradnl" w:bidi="he-IL"/>
        </w:rPr>
        <w:t>el numeral 1 de la sentencia del 27 de enero de 2015, proferida por el Tribunal Administrativo de Risaralda. En su lugar:</w:t>
      </w:r>
    </w:p>
    <w:p w14:paraId="5A87A113" w14:textId="77777777" w:rsidR="00F506FA" w:rsidRPr="00F506FA" w:rsidRDefault="00F506FA" w:rsidP="00F506FA">
      <w:pPr>
        <w:widowControl w:val="0"/>
        <w:tabs>
          <w:tab w:val="left" w:pos="567"/>
        </w:tabs>
        <w:autoSpaceDE w:val="0"/>
        <w:autoSpaceDN w:val="0"/>
        <w:contextualSpacing/>
        <w:jc w:val="both"/>
        <w:textAlignment w:val="baseline"/>
        <w:rPr>
          <w:rFonts w:ascii="Arial" w:eastAsia="Times New Roman" w:hAnsi="Arial" w:cs="Arial"/>
          <w:sz w:val="24"/>
          <w:szCs w:val="24"/>
          <w:lang w:val="es-ES_tradnl" w:eastAsia="es-ES_tradnl" w:bidi="he-IL"/>
        </w:rPr>
      </w:pPr>
    </w:p>
    <w:p w14:paraId="203B3045" w14:textId="77777777" w:rsidR="00F506FA" w:rsidRPr="00F506FA" w:rsidRDefault="00F506FA" w:rsidP="00F506FA">
      <w:pPr>
        <w:spacing w:after="160" w:line="240" w:lineRule="exact"/>
        <w:ind w:left="1134"/>
        <w:jc w:val="both"/>
        <w:rPr>
          <w:rFonts w:ascii="Arial" w:eastAsia="Times New Roman" w:hAnsi="Arial" w:cs="Arial"/>
          <w:i/>
          <w:noProof/>
          <w:color w:val="000000"/>
          <w:sz w:val="20"/>
          <w:szCs w:val="20"/>
          <w:lang w:val="es-ES_tradnl" w:eastAsia="ja-JP" w:bidi="he-IL"/>
        </w:rPr>
      </w:pPr>
      <w:r w:rsidRPr="00F506FA">
        <w:rPr>
          <w:rFonts w:ascii="Arial" w:eastAsia="Times New Roman" w:hAnsi="Arial" w:cs="Arial"/>
          <w:b/>
          <w:i/>
          <w:noProof/>
          <w:color w:val="000000"/>
          <w:sz w:val="20"/>
          <w:szCs w:val="20"/>
          <w:lang w:val="es-ES_tradnl" w:eastAsia="ja-JP" w:bidi="he-IL"/>
        </w:rPr>
        <w:lastRenderedPageBreak/>
        <w:t>Anular</w:t>
      </w:r>
      <w:r w:rsidRPr="00F506FA">
        <w:rPr>
          <w:rFonts w:ascii="Arial" w:eastAsia="Times New Roman" w:hAnsi="Arial" w:cs="Arial"/>
          <w:i/>
          <w:noProof/>
          <w:color w:val="000000"/>
          <w:sz w:val="20"/>
          <w:szCs w:val="20"/>
          <w:lang w:val="es-ES_tradnl" w:eastAsia="ja-JP" w:bidi="he-IL"/>
        </w:rPr>
        <w:t xml:space="preserve"> parcialmente la Liquidación Oficial de Revisión nro. 162412013000014, del 26 de febrero de 2013, y la Resolución 162362013000027, del 25 de octubre de 2013, en lo relacionado con la sanción por inexactitud. </w:t>
      </w:r>
    </w:p>
    <w:p w14:paraId="19B77CCB" w14:textId="77777777" w:rsidR="00F506FA" w:rsidRPr="00F506FA" w:rsidRDefault="00F506FA" w:rsidP="00F506FA">
      <w:pPr>
        <w:spacing w:after="160" w:line="240" w:lineRule="exact"/>
        <w:ind w:left="1134"/>
        <w:jc w:val="both"/>
        <w:rPr>
          <w:rFonts w:ascii="Arial" w:eastAsia="Times New Roman" w:hAnsi="Arial" w:cs="Arial"/>
          <w:i/>
          <w:noProof/>
          <w:color w:val="000000"/>
          <w:sz w:val="20"/>
          <w:szCs w:val="20"/>
          <w:lang w:val="es-ES_tradnl" w:eastAsia="ja-JP" w:bidi="he-IL"/>
        </w:rPr>
      </w:pPr>
      <w:r w:rsidRPr="00F506FA">
        <w:rPr>
          <w:rFonts w:ascii="Arial" w:eastAsia="Times New Roman" w:hAnsi="Arial" w:cs="Arial"/>
          <w:i/>
          <w:noProof/>
          <w:color w:val="000000"/>
          <w:sz w:val="20"/>
          <w:szCs w:val="20"/>
          <w:lang w:val="es-ES_tradnl" w:eastAsia="ja-JP" w:bidi="he-IL"/>
        </w:rPr>
        <w:t xml:space="preserve">A título de restablecimiento del derecho </w:t>
      </w:r>
      <w:r w:rsidRPr="00F506FA">
        <w:rPr>
          <w:rFonts w:ascii="Arial" w:eastAsia="Times New Roman" w:hAnsi="Arial" w:cs="Arial"/>
          <w:b/>
          <w:i/>
          <w:noProof/>
          <w:color w:val="000000"/>
          <w:sz w:val="20"/>
          <w:szCs w:val="20"/>
          <w:lang w:val="es-ES_tradnl" w:eastAsia="ja-JP" w:bidi="he-IL"/>
        </w:rPr>
        <w:t>fijar</w:t>
      </w:r>
      <w:r w:rsidRPr="00F506FA">
        <w:rPr>
          <w:rFonts w:ascii="Arial" w:eastAsia="Times New Roman" w:hAnsi="Arial" w:cs="Arial"/>
          <w:i/>
          <w:noProof/>
          <w:color w:val="000000"/>
          <w:sz w:val="20"/>
          <w:szCs w:val="20"/>
          <w:lang w:val="es-ES_tradnl" w:eastAsia="ja-JP" w:bidi="he-IL"/>
        </w:rPr>
        <w:t xml:space="preserve"> como sanción por inexactitud, la suma de  $152.703.000.</w:t>
      </w:r>
    </w:p>
    <w:p w14:paraId="2F3B344A" w14:textId="77777777" w:rsidR="00F506FA" w:rsidRPr="00F506FA" w:rsidRDefault="00F506FA" w:rsidP="00F506FA">
      <w:pPr>
        <w:widowControl w:val="0"/>
        <w:tabs>
          <w:tab w:val="left" w:pos="567"/>
        </w:tabs>
        <w:autoSpaceDE w:val="0"/>
        <w:autoSpaceDN w:val="0"/>
        <w:ind w:left="567"/>
        <w:contextualSpacing/>
        <w:jc w:val="both"/>
        <w:textAlignment w:val="baseline"/>
        <w:rPr>
          <w:rFonts w:ascii="Arial" w:eastAsia="Arial" w:hAnsi="Arial" w:cs="Arial"/>
          <w:sz w:val="24"/>
          <w:szCs w:val="24"/>
          <w:lang w:eastAsia="es-CO"/>
        </w:rPr>
      </w:pPr>
    </w:p>
    <w:p w14:paraId="0D51CBBC" w14:textId="77777777" w:rsidR="00F506FA" w:rsidRPr="00F506FA" w:rsidRDefault="00F506FA" w:rsidP="00F506FA">
      <w:pPr>
        <w:widowControl w:val="0"/>
        <w:tabs>
          <w:tab w:val="left" w:pos="567"/>
        </w:tabs>
        <w:autoSpaceDE w:val="0"/>
        <w:autoSpaceDN w:val="0"/>
        <w:ind w:left="567"/>
        <w:contextualSpacing/>
        <w:jc w:val="both"/>
        <w:textAlignment w:val="baseline"/>
        <w:rPr>
          <w:rFonts w:ascii="Arial" w:eastAsia="Arial" w:hAnsi="Arial" w:cs="Arial"/>
          <w:sz w:val="24"/>
          <w:szCs w:val="24"/>
          <w:lang w:eastAsia="es-CO"/>
        </w:rPr>
      </w:pPr>
    </w:p>
    <w:p w14:paraId="16019E67" w14:textId="77777777" w:rsidR="00F506FA" w:rsidRPr="00F506FA" w:rsidRDefault="00F506FA" w:rsidP="00F506FA">
      <w:pPr>
        <w:widowControl w:val="0"/>
        <w:numPr>
          <w:ilvl w:val="0"/>
          <w:numId w:val="1"/>
        </w:numPr>
        <w:tabs>
          <w:tab w:val="left" w:pos="567"/>
        </w:tabs>
        <w:autoSpaceDE w:val="0"/>
        <w:autoSpaceDN w:val="0"/>
        <w:ind w:left="567" w:hanging="567"/>
        <w:contextualSpacing/>
        <w:jc w:val="both"/>
        <w:textAlignment w:val="baseline"/>
        <w:rPr>
          <w:rFonts w:ascii="Arial" w:eastAsia="Arial" w:hAnsi="Arial" w:cs="Arial"/>
          <w:sz w:val="24"/>
          <w:szCs w:val="24"/>
          <w:lang w:eastAsia="es-CO"/>
        </w:rPr>
      </w:pPr>
      <w:r w:rsidRPr="00F506FA">
        <w:rPr>
          <w:rFonts w:ascii="Arial" w:eastAsia="Arial" w:hAnsi="Arial" w:cs="Arial"/>
          <w:b/>
          <w:sz w:val="24"/>
          <w:szCs w:val="24"/>
          <w:lang w:eastAsia="es-CO"/>
        </w:rPr>
        <w:t>Confirmar</w:t>
      </w:r>
      <w:r w:rsidRPr="00F506FA">
        <w:rPr>
          <w:rFonts w:ascii="Arial" w:eastAsia="Arial" w:hAnsi="Arial" w:cs="Arial"/>
          <w:sz w:val="24"/>
          <w:szCs w:val="24"/>
          <w:lang w:eastAsia="es-CO"/>
        </w:rPr>
        <w:t xml:space="preserve"> en lo demás la sentencia apelada. </w:t>
      </w:r>
    </w:p>
    <w:p w14:paraId="5726843F" w14:textId="77777777" w:rsidR="00F506FA" w:rsidRPr="00F506FA" w:rsidRDefault="00F506FA" w:rsidP="00F506FA">
      <w:pPr>
        <w:widowControl w:val="0"/>
        <w:tabs>
          <w:tab w:val="left" w:pos="284"/>
        </w:tabs>
        <w:contextualSpacing/>
        <w:jc w:val="both"/>
        <w:textAlignment w:val="baseline"/>
        <w:rPr>
          <w:rFonts w:ascii="Arial" w:eastAsia="Arial" w:hAnsi="Arial" w:cs="Arial"/>
          <w:sz w:val="24"/>
          <w:szCs w:val="24"/>
          <w:lang w:eastAsia="es-CO"/>
        </w:rPr>
      </w:pPr>
    </w:p>
    <w:p w14:paraId="7BAC52E1" w14:textId="77777777" w:rsidR="00F506FA" w:rsidRPr="00F506FA" w:rsidRDefault="00F506FA" w:rsidP="00F506FA">
      <w:pPr>
        <w:widowControl w:val="0"/>
        <w:tabs>
          <w:tab w:val="left" w:pos="284"/>
        </w:tabs>
        <w:contextualSpacing/>
        <w:jc w:val="both"/>
        <w:textAlignment w:val="baseline"/>
        <w:rPr>
          <w:rFonts w:ascii="Arial" w:eastAsia="Arial" w:hAnsi="Arial" w:cs="Arial"/>
          <w:sz w:val="24"/>
          <w:szCs w:val="24"/>
          <w:lang w:eastAsia="es-CO"/>
        </w:rPr>
      </w:pPr>
    </w:p>
    <w:p w14:paraId="1CF47475" w14:textId="77777777" w:rsidR="00F506FA" w:rsidRPr="00F506FA" w:rsidRDefault="00F506FA" w:rsidP="00F506FA">
      <w:pPr>
        <w:widowControl w:val="0"/>
        <w:numPr>
          <w:ilvl w:val="0"/>
          <w:numId w:val="1"/>
        </w:numPr>
        <w:tabs>
          <w:tab w:val="left" w:pos="567"/>
        </w:tabs>
        <w:autoSpaceDE w:val="0"/>
        <w:autoSpaceDN w:val="0"/>
        <w:ind w:left="567" w:hanging="567"/>
        <w:contextualSpacing/>
        <w:jc w:val="both"/>
        <w:textAlignment w:val="baseline"/>
        <w:rPr>
          <w:rFonts w:ascii="Arial" w:eastAsia="Arial" w:hAnsi="Arial" w:cs="Arial"/>
          <w:sz w:val="24"/>
          <w:szCs w:val="24"/>
          <w:lang w:eastAsia="es-CO"/>
        </w:rPr>
      </w:pPr>
      <w:r w:rsidRPr="00F506FA">
        <w:rPr>
          <w:rFonts w:ascii="Arial" w:eastAsia="Arial" w:hAnsi="Arial" w:cs="Arial"/>
          <w:b/>
          <w:sz w:val="24"/>
          <w:szCs w:val="24"/>
          <w:lang w:eastAsia="es-CO"/>
        </w:rPr>
        <w:t>Reconocer</w:t>
      </w:r>
      <w:r w:rsidRPr="00F506FA">
        <w:rPr>
          <w:rFonts w:ascii="Arial" w:eastAsia="Arial" w:hAnsi="Arial" w:cs="Arial"/>
          <w:sz w:val="24"/>
          <w:szCs w:val="24"/>
          <w:lang w:eastAsia="es-CO"/>
        </w:rPr>
        <w:t xml:space="preserve"> personería al abogado Mauricio Alexander Dávila Valenzuela, para que represente a la parte demandada, en los términos del poder conferido (f. 270).</w:t>
      </w:r>
    </w:p>
    <w:p w14:paraId="69246393" w14:textId="77777777" w:rsidR="00F506FA" w:rsidRPr="00F506FA" w:rsidRDefault="00F506FA" w:rsidP="00F506FA">
      <w:pPr>
        <w:widowControl w:val="0"/>
        <w:overflowPunct w:val="0"/>
        <w:autoSpaceDE w:val="0"/>
        <w:autoSpaceDN w:val="0"/>
        <w:contextualSpacing/>
        <w:jc w:val="both"/>
        <w:textAlignment w:val="baseline"/>
        <w:rPr>
          <w:rFonts w:ascii="Arial" w:eastAsia="Arial Unicode MS" w:hAnsi="Arial" w:cs="Arial"/>
          <w:sz w:val="24"/>
          <w:szCs w:val="24"/>
          <w:lang w:eastAsia="es-CO"/>
        </w:rPr>
      </w:pPr>
    </w:p>
    <w:p w14:paraId="340CEBA6" w14:textId="77777777" w:rsidR="00F506FA" w:rsidRPr="00F506FA" w:rsidRDefault="00F506FA" w:rsidP="00F506FA">
      <w:pPr>
        <w:widowControl w:val="0"/>
        <w:overflowPunct w:val="0"/>
        <w:autoSpaceDE w:val="0"/>
        <w:autoSpaceDN w:val="0"/>
        <w:contextualSpacing/>
        <w:jc w:val="both"/>
        <w:textAlignment w:val="baseline"/>
        <w:rPr>
          <w:rFonts w:ascii="Arial" w:eastAsia="Arial Unicode MS" w:hAnsi="Arial" w:cs="Arial"/>
          <w:sz w:val="24"/>
          <w:szCs w:val="24"/>
          <w:lang w:eastAsia="es-CO"/>
        </w:rPr>
      </w:pPr>
    </w:p>
    <w:p w14:paraId="6EB912B3" w14:textId="77777777" w:rsidR="00F506FA" w:rsidRPr="00F506FA" w:rsidRDefault="00F506FA" w:rsidP="00F506FA">
      <w:pPr>
        <w:widowControl w:val="0"/>
        <w:overflowPunct w:val="0"/>
        <w:autoSpaceDE w:val="0"/>
        <w:autoSpaceDN w:val="0"/>
        <w:contextualSpacing/>
        <w:jc w:val="both"/>
        <w:textAlignment w:val="baseline"/>
        <w:rPr>
          <w:rFonts w:ascii="Arial" w:eastAsia="Arial Unicode MS" w:hAnsi="Arial" w:cs="Arial"/>
          <w:sz w:val="24"/>
          <w:szCs w:val="24"/>
          <w:lang w:eastAsia="es-CO"/>
        </w:rPr>
      </w:pPr>
      <w:r w:rsidRPr="00F506FA">
        <w:rPr>
          <w:rFonts w:ascii="Arial" w:eastAsia="Arial Unicode MS" w:hAnsi="Arial" w:cs="Arial"/>
          <w:sz w:val="24"/>
          <w:szCs w:val="24"/>
          <w:lang w:eastAsia="es-CO"/>
        </w:rPr>
        <w:t>Cópiese, notifíquese, comuníquese. Devuélvase al tribunal de origen. Cúmplase.</w:t>
      </w:r>
    </w:p>
    <w:p w14:paraId="4D0F3D3C" w14:textId="77777777" w:rsidR="00F506FA" w:rsidRPr="00F506FA" w:rsidRDefault="00F506FA" w:rsidP="00F506FA">
      <w:pPr>
        <w:widowControl w:val="0"/>
        <w:overflowPunct w:val="0"/>
        <w:autoSpaceDE w:val="0"/>
        <w:autoSpaceDN w:val="0"/>
        <w:contextualSpacing/>
        <w:jc w:val="both"/>
        <w:textAlignment w:val="baseline"/>
        <w:rPr>
          <w:rFonts w:ascii="Arial" w:eastAsia="Arial Unicode MS" w:hAnsi="Arial" w:cs="Arial"/>
          <w:sz w:val="24"/>
          <w:szCs w:val="24"/>
          <w:lang w:eastAsia="es-CO"/>
        </w:rPr>
      </w:pPr>
    </w:p>
    <w:p w14:paraId="5CAD0953" w14:textId="77777777" w:rsidR="00F506FA" w:rsidRPr="00F506FA" w:rsidRDefault="00F506FA" w:rsidP="00F506FA">
      <w:pPr>
        <w:widowControl w:val="0"/>
        <w:overflowPunct w:val="0"/>
        <w:autoSpaceDE w:val="0"/>
        <w:autoSpaceDN w:val="0"/>
        <w:contextualSpacing/>
        <w:jc w:val="both"/>
        <w:textAlignment w:val="baseline"/>
        <w:outlineLvl w:val="0"/>
        <w:rPr>
          <w:rFonts w:ascii="Arial" w:eastAsia="Arial Unicode MS" w:hAnsi="Arial" w:cs="Arial"/>
          <w:sz w:val="24"/>
          <w:szCs w:val="24"/>
          <w:lang w:eastAsia="es-CO"/>
        </w:rPr>
      </w:pPr>
      <w:r w:rsidRPr="00F506FA">
        <w:rPr>
          <w:rFonts w:ascii="Arial" w:eastAsia="Arial Unicode MS" w:hAnsi="Arial" w:cs="Arial"/>
          <w:sz w:val="24"/>
          <w:szCs w:val="24"/>
          <w:lang w:eastAsia="es-CO"/>
        </w:rPr>
        <w:t>La anterior providencia se estudió y aprobó en la sesión de la fecha.</w:t>
      </w:r>
    </w:p>
    <w:p w14:paraId="754BAFE2" w14:textId="77777777" w:rsidR="00F506FA" w:rsidRPr="00F506FA" w:rsidRDefault="00F506FA" w:rsidP="00F506FA">
      <w:pPr>
        <w:widowControl w:val="0"/>
        <w:overflowPunct w:val="0"/>
        <w:autoSpaceDE w:val="0"/>
        <w:autoSpaceDN w:val="0"/>
        <w:contextualSpacing/>
        <w:textAlignment w:val="baseline"/>
        <w:rPr>
          <w:rFonts w:ascii="Arial" w:eastAsia="Arial Unicode MS" w:hAnsi="Arial" w:cs="Arial"/>
          <w:sz w:val="24"/>
          <w:szCs w:val="24"/>
          <w:lang w:eastAsia="es-CO"/>
        </w:rPr>
      </w:pPr>
    </w:p>
    <w:p w14:paraId="73A75F2B" w14:textId="77777777" w:rsidR="00F506FA" w:rsidRPr="00F506FA" w:rsidRDefault="00F506FA" w:rsidP="00F506FA">
      <w:pPr>
        <w:widowControl w:val="0"/>
        <w:overflowPunct w:val="0"/>
        <w:autoSpaceDE w:val="0"/>
        <w:autoSpaceDN w:val="0"/>
        <w:contextualSpacing/>
        <w:textAlignment w:val="baseline"/>
        <w:rPr>
          <w:rFonts w:ascii="Arial" w:eastAsia="Arial Unicode MS" w:hAnsi="Arial" w:cs="Arial"/>
          <w:sz w:val="24"/>
          <w:szCs w:val="24"/>
          <w:lang w:eastAsia="es-CO"/>
        </w:rPr>
      </w:pPr>
    </w:p>
    <w:p w14:paraId="76FAEE60" w14:textId="77777777" w:rsidR="00F506FA" w:rsidRPr="00F506FA" w:rsidRDefault="00F506FA" w:rsidP="00F506FA">
      <w:pPr>
        <w:widowControl w:val="0"/>
        <w:overflowPunct w:val="0"/>
        <w:autoSpaceDE w:val="0"/>
        <w:autoSpaceDN w:val="0"/>
        <w:contextualSpacing/>
        <w:textAlignment w:val="baseline"/>
        <w:rPr>
          <w:rFonts w:ascii="Arial" w:eastAsia="Arial Unicode MS" w:hAnsi="Arial" w:cs="Arial"/>
          <w:sz w:val="24"/>
          <w:szCs w:val="24"/>
          <w:lang w:eastAsia="es-CO"/>
        </w:rPr>
      </w:pPr>
    </w:p>
    <w:p w14:paraId="1397DF86" w14:textId="77777777" w:rsidR="00F506FA" w:rsidRPr="00F506FA" w:rsidRDefault="00F506FA" w:rsidP="00F506FA">
      <w:pPr>
        <w:widowControl w:val="0"/>
        <w:overflowPunct w:val="0"/>
        <w:autoSpaceDE w:val="0"/>
        <w:autoSpaceDN w:val="0"/>
        <w:contextualSpacing/>
        <w:textAlignment w:val="baseline"/>
        <w:rPr>
          <w:rFonts w:ascii="Arial" w:eastAsia="Arial Unicode MS" w:hAnsi="Arial" w:cs="Arial"/>
          <w:sz w:val="24"/>
          <w:szCs w:val="24"/>
          <w:lang w:eastAsia="es-CO"/>
        </w:rPr>
      </w:pPr>
    </w:p>
    <w:tbl>
      <w:tblPr>
        <w:tblW w:w="9493" w:type="dxa"/>
        <w:tblLayout w:type="fixed"/>
        <w:tblLook w:val="04A0" w:firstRow="1" w:lastRow="0" w:firstColumn="1" w:lastColumn="0" w:noHBand="0" w:noVBand="1"/>
      </w:tblPr>
      <w:tblGrid>
        <w:gridCol w:w="4421"/>
        <w:gridCol w:w="5072"/>
      </w:tblGrid>
      <w:tr w:rsidR="00F506FA" w:rsidRPr="00F506FA" w14:paraId="41BB0B21" w14:textId="77777777" w:rsidTr="001A5D86">
        <w:trPr>
          <w:trHeight w:val="1135"/>
        </w:trPr>
        <w:tc>
          <w:tcPr>
            <w:tcW w:w="4421" w:type="dxa"/>
          </w:tcPr>
          <w:p w14:paraId="4466DAE4" w14:textId="77777777" w:rsidR="00F506FA" w:rsidRPr="00F506FA" w:rsidRDefault="00F506FA" w:rsidP="00F506FA">
            <w:pPr>
              <w:widowControl w:val="0"/>
              <w:tabs>
                <w:tab w:val="left" w:pos="-720"/>
                <w:tab w:val="left" w:pos="-108"/>
              </w:tabs>
              <w:overflowPunct w:val="0"/>
              <w:autoSpaceDE w:val="0"/>
              <w:autoSpaceDN w:val="0"/>
              <w:ind w:left="-108"/>
              <w:contextualSpacing/>
              <w:textAlignment w:val="baseline"/>
              <w:rPr>
                <w:rFonts w:ascii="Arial" w:eastAsia="Arial" w:hAnsi="Arial" w:cs="Arial"/>
                <w:b/>
                <w:spacing w:val="-3"/>
                <w:sz w:val="24"/>
                <w:szCs w:val="24"/>
                <w:lang w:eastAsia="es-CO"/>
              </w:rPr>
            </w:pPr>
            <w:r w:rsidRPr="00F506FA">
              <w:rPr>
                <w:rFonts w:ascii="Arial" w:eastAsia="Arial" w:hAnsi="Arial" w:cs="Arial"/>
                <w:b/>
                <w:spacing w:val="-3"/>
                <w:sz w:val="24"/>
                <w:szCs w:val="24"/>
                <w:lang w:eastAsia="es-CO"/>
              </w:rPr>
              <w:t>JULIO ROBERTO PIZA RODRÍGUEZ</w:t>
            </w:r>
          </w:p>
          <w:p w14:paraId="38E8340C" w14:textId="77777777" w:rsidR="00F506FA" w:rsidRPr="00F506FA" w:rsidRDefault="00F506FA" w:rsidP="00F506FA">
            <w:pPr>
              <w:widowControl w:val="0"/>
              <w:tabs>
                <w:tab w:val="left" w:pos="-720"/>
              </w:tabs>
              <w:overflowPunct w:val="0"/>
              <w:autoSpaceDE w:val="0"/>
              <w:autoSpaceDN w:val="0"/>
              <w:ind w:left="-108"/>
              <w:contextualSpacing/>
              <w:jc w:val="center"/>
              <w:textAlignment w:val="baseline"/>
              <w:rPr>
                <w:rFonts w:ascii="Arial" w:eastAsia="Arial" w:hAnsi="Arial" w:cs="Arial"/>
                <w:spacing w:val="-3"/>
                <w:sz w:val="24"/>
                <w:szCs w:val="24"/>
                <w:lang w:eastAsia="es-CO"/>
              </w:rPr>
            </w:pPr>
            <w:r w:rsidRPr="00F506FA">
              <w:rPr>
                <w:rFonts w:ascii="Arial" w:eastAsia="Arial" w:hAnsi="Arial" w:cs="Arial"/>
                <w:spacing w:val="-3"/>
                <w:sz w:val="24"/>
                <w:szCs w:val="24"/>
                <w:lang w:eastAsia="es-CO"/>
              </w:rPr>
              <w:t>Presidente de la Sala</w:t>
            </w:r>
          </w:p>
          <w:p w14:paraId="3F217452" w14:textId="77777777" w:rsidR="00F506FA" w:rsidRPr="00F506FA" w:rsidRDefault="00F506FA" w:rsidP="00F506FA">
            <w:pPr>
              <w:ind w:left="-113"/>
              <w:rPr>
                <w:rFonts w:ascii="Arial" w:eastAsia="Arial" w:hAnsi="Arial" w:cs="Arial"/>
                <w:sz w:val="24"/>
                <w:szCs w:val="24"/>
                <w:lang w:eastAsia="es-CO"/>
              </w:rPr>
            </w:pPr>
          </w:p>
          <w:p w14:paraId="01783DF7" w14:textId="77777777" w:rsidR="00F506FA" w:rsidRPr="00F506FA" w:rsidRDefault="00F506FA" w:rsidP="00F506FA">
            <w:pPr>
              <w:ind w:left="-108"/>
              <w:rPr>
                <w:rFonts w:ascii="Arial" w:eastAsia="Arial" w:hAnsi="Arial" w:cs="Arial"/>
                <w:sz w:val="24"/>
                <w:szCs w:val="24"/>
                <w:lang w:eastAsia="es-CO"/>
              </w:rPr>
            </w:pPr>
          </w:p>
          <w:p w14:paraId="7CEDEDD7" w14:textId="77777777" w:rsidR="00F506FA" w:rsidRPr="00F506FA" w:rsidRDefault="00F506FA" w:rsidP="00F506FA">
            <w:pPr>
              <w:ind w:left="-108"/>
              <w:rPr>
                <w:rFonts w:ascii="Arial" w:eastAsia="Arial" w:hAnsi="Arial" w:cs="Arial"/>
                <w:sz w:val="24"/>
                <w:szCs w:val="24"/>
                <w:lang w:eastAsia="es-CO"/>
              </w:rPr>
            </w:pPr>
          </w:p>
        </w:tc>
        <w:tc>
          <w:tcPr>
            <w:tcW w:w="5072" w:type="dxa"/>
          </w:tcPr>
          <w:p w14:paraId="4ECA4B64" w14:textId="77777777" w:rsidR="00F506FA" w:rsidRPr="00F506FA" w:rsidRDefault="00F506FA" w:rsidP="00F506FA">
            <w:pPr>
              <w:widowControl w:val="0"/>
              <w:tabs>
                <w:tab w:val="left" w:pos="-720"/>
              </w:tabs>
              <w:overflowPunct w:val="0"/>
              <w:autoSpaceDE w:val="0"/>
              <w:autoSpaceDN w:val="0"/>
              <w:ind w:left="7"/>
              <w:contextualSpacing/>
              <w:jc w:val="center"/>
              <w:textAlignment w:val="baseline"/>
              <w:rPr>
                <w:rFonts w:ascii="Arial" w:eastAsia="Arial" w:hAnsi="Arial" w:cs="Arial"/>
                <w:spacing w:val="-3"/>
                <w:sz w:val="24"/>
                <w:szCs w:val="24"/>
                <w:lang w:eastAsia="es-CO"/>
              </w:rPr>
            </w:pPr>
            <w:r w:rsidRPr="00F506FA">
              <w:rPr>
                <w:rFonts w:ascii="Arial" w:eastAsia="Arial" w:hAnsi="Arial" w:cs="Arial"/>
                <w:b/>
                <w:spacing w:val="-3"/>
                <w:sz w:val="24"/>
                <w:szCs w:val="24"/>
                <w:lang w:eastAsia="es-CO"/>
              </w:rPr>
              <w:t>STELLA JEANNETTE CARVAJAL BASTO</w:t>
            </w:r>
          </w:p>
        </w:tc>
      </w:tr>
      <w:tr w:rsidR="00F506FA" w:rsidRPr="00F506FA" w14:paraId="03DD4246" w14:textId="77777777" w:rsidTr="001A5D86">
        <w:tc>
          <w:tcPr>
            <w:tcW w:w="4421" w:type="dxa"/>
          </w:tcPr>
          <w:p w14:paraId="3FA6B59F" w14:textId="77777777" w:rsidR="00F506FA" w:rsidRPr="00F506FA" w:rsidRDefault="00F506FA" w:rsidP="00F506FA">
            <w:pPr>
              <w:widowControl w:val="0"/>
              <w:tabs>
                <w:tab w:val="left" w:pos="-720"/>
              </w:tabs>
              <w:overflowPunct w:val="0"/>
              <w:autoSpaceDE w:val="0"/>
              <w:autoSpaceDN w:val="0"/>
              <w:ind w:left="-108"/>
              <w:contextualSpacing/>
              <w:textAlignment w:val="baseline"/>
              <w:rPr>
                <w:rFonts w:ascii="Arial" w:eastAsia="Arial" w:hAnsi="Arial" w:cs="Arial"/>
                <w:spacing w:val="-3"/>
                <w:sz w:val="24"/>
                <w:szCs w:val="24"/>
                <w:lang w:eastAsia="es-CO"/>
              </w:rPr>
            </w:pPr>
            <w:r w:rsidRPr="00F506FA">
              <w:rPr>
                <w:rFonts w:ascii="Arial" w:eastAsia="Arial" w:hAnsi="Arial" w:cs="Arial"/>
                <w:b/>
                <w:spacing w:val="-3"/>
                <w:sz w:val="24"/>
                <w:szCs w:val="24"/>
                <w:lang w:eastAsia="es-CO"/>
              </w:rPr>
              <w:t>MILTON CHAVES GARCÍA</w:t>
            </w:r>
          </w:p>
        </w:tc>
        <w:tc>
          <w:tcPr>
            <w:tcW w:w="5072" w:type="dxa"/>
          </w:tcPr>
          <w:p w14:paraId="79927D49" w14:textId="77777777" w:rsidR="00F506FA" w:rsidRPr="00F506FA" w:rsidRDefault="00F506FA" w:rsidP="00F506FA">
            <w:pPr>
              <w:widowControl w:val="0"/>
              <w:tabs>
                <w:tab w:val="left" w:pos="-720"/>
              </w:tabs>
              <w:overflowPunct w:val="0"/>
              <w:autoSpaceDE w:val="0"/>
              <w:autoSpaceDN w:val="0"/>
              <w:ind w:left="7"/>
              <w:contextualSpacing/>
              <w:jc w:val="center"/>
              <w:textAlignment w:val="baseline"/>
              <w:rPr>
                <w:rFonts w:ascii="Arial" w:eastAsia="Arial" w:hAnsi="Arial" w:cs="Arial"/>
                <w:sz w:val="24"/>
                <w:szCs w:val="24"/>
                <w:lang w:eastAsia="es-CO"/>
              </w:rPr>
            </w:pPr>
            <w:r w:rsidRPr="00F506FA">
              <w:rPr>
                <w:rFonts w:ascii="Arial" w:eastAsia="Arial" w:hAnsi="Arial" w:cs="Arial"/>
                <w:b/>
                <w:spacing w:val="-3"/>
                <w:sz w:val="24"/>
                <w:szCs w:val="24"/>
                <w:lang w:eastAsia="es-CO"/>
              </w:rPr>
              <w:t xml:space="preserve">JORGE OCTAVIO RAMÍREZ </w:t>
            </w:r>
            <w:proofErr w:type="spellStart"/>
            <w:r w:rsidRPr="00F506FA">
              <w:rPr>
                <w:rFonts w:ascii="Arial" w:eastAsia="Arial" w:hAnsi="Arial" w:cs="Arial"/>
                <w:b/>
                <w:spacing w:val="-3"/>
                <w:sz w:val="24"/>
                <w:szCs w:val="24"/>
                <w:lang w:eastAsia="es-CO"/>
              </w:rPr>
              <w:t>RAMÍREZ</w:t>
            </w:r>
            <w:proofErr w:type="spellEnd"/>
          </w:p>
        </w:tc>
      </w:tr>
    </w:tbl>
    <w:p w14:paraId="5A442882" w14:textId="77777777" w:rsidR="00F506FA" w:rsidRPr="00F506FA" w:rsidRDefault="00F506FA" w:rsidP="00F506FA">
      <w:pPr>
        <w:widowControl w:val="0"/>
        <w:contextualSpacing/>
        <w:rPr>
          <w:rFonts w:ascii="Arial" w:eastAsia="Arial Unicode MS" w:hAnsi="Arial" w:cs="Arial"/>
          <w:color w:val="000000"/>
          <w:sz w:val="24"/>
          <w:szCs w:val="24"/>
          <w:u w:color="000000"/>
          <w:bdr w:val="nil"/>
          <w:lang w:eastAsia="es-CO"/>
        </w:rPr>
      </w:pPr>
    </w:p>
    <w:p w14:paraId="03D2DC18" w14:textId="77777777" w:rsidR="00FA148D" w:rsidRDefault="00FA148D" w:rsidP="00FA148D">
      <w:pPr>
        <w:jc w:val="both"/>
        <w:rPr>
          <w:rFonts w:ascii="Arial" w:hAnsi="Arial"/>
          <w:sz w:val="24"/>
        </w:rPr>
      </w:pPr>
    </w:p>
    <w:p w14:paraId="4B524887" w14:textId="77777777" w:rsidR="00927DD6" w:rsidRDefault="00927DD6"/>
    <w:sectPr w:rsidR="00927DD6">
      <w:pgSz w:w="12242" w:h="15842"/>
      <w:pgMar w:top="2268" w:right="1701" w:bottom="1701"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hybridMultilevel"/>
    <w:tmpl w:val="8BACCCF2"/>
    <w:lvl w:ilvl="0" w:tplc="F33251AE">
      <w:start w:val="1"/>
      <w:numFmt w:val="decimal"/>
      <w:lvlText w:val="%1."/>
      <w:lvlJc w:val="left"/>
      <w:pPr>
        <w:ind w:left="780" w:hanging="420"/>
      </w:pPr>
      <w:rPr>
        <w:rFonts w:ascii="Arial" w:hAnsi="Arial" w:cs="Arial" w:hint="default"/>
      </w:rPr>
    </w:lvl>
    <w:lvl w:ilvl="1" w:tplc="D5ACA2A6">
      <w:start w:val="1"/>
      <w:numFmt w:val="lowerLetter"/>
      <w:lvlText w:val="%2."/>
      <w:lvlJc w:val="left"/>
      <w:pPr>
        <w:ind w:left="1440" w:hanging="360"/>
      </w:pPr>
    </w:lvl>
    <w:lvl w:ilvl="2" w:tplc="646C1F5E">
      <w:start w:val="1"/>
      <w:numFmt w:val="lowerRoman"/>
      <w:lvlText w:val="%3."/>
      <w:lvlJc w:val="right"/>
      <w:pPr>
        <w:ind w:left="2160" w:hanging="180"/>
      </w:pPr>
    </w:lvl>
    <w:lvl w:ilvl="3" w:tplc="A54603EE">
      <w:start w:val="1"/>
      <w:numFmt w:val="decimal"/>
      <w:lvlText w:val="%4."/>
      <w:lvlJc w:val="left"/>
      <w:pPr>
        <w:ind w:left="2880" w:hanging="360"/>
      </w:pPr>
    </w:lvl>
    <w:lvl w:ilvl="4" w:tplc="285A7536">
      <w:start w:val="1"/>
      <w:numFmt w:val="lowerLetter"/>
      <w:lvlText w:val="%5."/>
      <w:lvlJc w:val="left"/>
      <w:pPr>
        <w:ind w:left="3600" w:hanging="360"/>
      </w:pPr>
    </w:lvl>
    <w:lvl w:ilvl="5" w:tplc="18364B56">
      <w:start w:val="1"/>
      <w:numFmt w:val="lowerRoman"/>
      <w:lvlText w:val="%6."/>
      <w:lvlJc w:val="right"/>
      <w:pPr>
        <w:ind w:left="4320" w:hanging="180"/>
      </w:pPr>
    </w:lvl>
    <w:lvl w:ilvl="6" w:tplc="7D746F3A">
      <w:start w:val="1"/>
      <w:numFmt w:val="decimal"/>
      <w:lvlText w:val="%7."/>
      <w:lvlJc w:val="left"/>
      <w:pPr>
        <w:ind w:left="5040" w:hanging="360"/>
      </w:pPr>
    </w:lvl>
    <w:lvl w:ilvl="7" w:tplc="9CD08702">
      <w:start w:val="1"/>
      <w:numFmt w:val="lowerLetter"/>
      <w:lvlText w:val="%8."/>
      <w:lvlJc w:val="left"/>
      <w:pPr>
        <w:ind w:left="5760" w:hanging="360"/>
      </w:pPr>
    </w:lvl>
    <w:lvl w:ilvl="8" w:tplc="CE5C48BE">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48D"/>
    <w:rsid w:val="001A1070"/>
    <w:rsid w:val="00261A75"/>
    <w:rsid w:val="00927DD6"/>
    <w:rsid w:val="00F506FA"/>
    <w:rsid w:val="00FA14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3C24B"/>
  <w15:chartTrackingRefBased/>
  <w15:docId w15:val="{E4D70168-350B-4B0F-928C-6E0031B3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3525</Words>
  <Characters>19392</Characters>
  <Application>Microsoft Office Word</Application>
  <DocSecurity>0</DocSecurity>
  <Lines>161</Lines>
  <Paragraphs>45</Paragraphs>
  <ScaleCrop>false</ScaleCrop>
  <Company/>
  <LinksUpToDate>false</LinksUpToDate>
  <CharactersWithSpaces>22872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YENNY LORENA ACEVEDO ASTUDILLO</dc:creator>
  <cp:keywords/>
  <dc:description/>
  <cp:lastModifiedBy>CNETCO</cp:lastModifiedBy>
  <cp:revision>2</cp:revision>
  <dcterms:created xsi:type="dcterms:W3CDTF">2019-10-14T22:30:00Z</dcterms:created>
  <dcterms:modified xsi:type="dcterms:W3CDTF">2019-10-14T22:30:00Z</dcterms:modified>
</cp:coreProperties>
</file>