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CONSEJO DE ESTADO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SALA DE LO CONTENCIOSO ADMINISTRATIVO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SECCIÓN CUARTA</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CONSEJERA PONENTE: STELLA JEANNETTE CARVAJAL BASTO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Bogotá D.C., cinco (5) de febrero de dos mil diecinueve (2019)</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Referencia: NULIDAD Y RESTABLECIMIENTO DEL DERECHO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Radicación: 05001-23-31-000-2007-00032-01 (20851)</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Demandante: JULIO EFRÉN GÓMEZ MORENO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Demandado: DIRECCIÓN DE IMPUESTOS Y ADUANAS NACIONALES - DIAN</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Temas: Impuesto de Renta - Agotamiento de la vía gubernativa - Costos y deducciones - Prueba</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FF"/>
          <w:sz w:val="28"/>
          <w:szCs w:val="28"/>
          <w:lang w:eastAsia="es-CO"/>
        </w:rPr>
        <w:t>SENTENCIA SEGUNDA INSTANCIA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FF"/>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FF"/>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Sala decide el recurso de apelación interpuesto, mediante apoderada judicial por el demandante, contra la sentencia del 17 de septiembre de 2013, proferida por la Sala Cuarta de Decisión del Tribunal Administrativo de Antioquia, que en la parte resolutiva dispuso:</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«PRIMERO: DECLÁRASE DE OFICIO LA EXCEPCIÓN DE FALTA DE AGOTAMIENTO DE LA VÍA GUBERNATIVA, </w:t>
      </w:r>
      <w:r w:rsidRPr="00C6121C">
        <w:rPr>
          <w:rFonts w:ascii="Segoe UI" w:eastAsia="Times New Roman" w:hAnsi="Segoe UI" w:cs="Segoe UI"/>
          <w:i/>
          <w:iCs/>
          <w:color w:val="000000"/>
          <w:sz w:val="18"/>
          <w:szCs w:val="18"/>
          <w:lang w:eastAsia="es-CO"/>
        </w:rPr>
        <w:t>respecto a los cargos de indebido desconocimiento de costos y deducciones, por violación al </w:t>
      </w:r>
      <w:hyperlink r:id="rId4" w:tooltip="Estatuto Tributario CETA" w:history="1">
        <w:r w:rsidRPr="00C6121C">
          <w:rPr>
            <w:rFonts w:ascii="Segoe UI" w:eastAsia="Times New Roman" w:hAnsi="Segoe UI" w:cs="Segoe UI"/>
            <w:i/>
            <w:iCs/>
            <w:color w:val="0089E1"/>
            <w:sz w:val="18"/>
            <w:szCs w:val="18"/>
            <w:lang w:eastAsia="es-CO"/>
          </w:rPr>
          <w:t>artículo 82</w:t>
        </w:r>
      </w:hyperlink>
      <w:r w:rsidRPr="00C6121C">
        <w:rPr>
          <w:rFonts w:ascii="Segoe UI" w:eastAsia="Times New Roman" w:hAnsi="Segoe UI" w:cs="Segoe UI"/>
          <w:i/>
          <w:iCs/>
          <w:color w:val="000000"/>
          <w:sz w:val="18"/>
          <w:szCs w:val="18"/>
          <w:lang w:eastAsia="es-CO"/>
        </w:rPr>
        <w:t> del Estatuto Tributario, indebido rechazo de las retenciones en la fuente, e indebida aplicación de la sanción por inexactitud.</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SEGUNDO: NIÉGANSE </w:t>
      </w:r>
      <w:r w:rsidRPr="00C6121C">
        <w:rPr>
          <w:rFonts w:ascii="Segoe UI" w:eastAsia="Times New Roman" w:hAnsi="Segoe UI" w:cs="Segoe UI"/>
          <w:i/>
          <w:iCs/>
          <w:color w:val="000000"/>
          <w:sz w:val="18"/>
          <w:szCs w:val="18"/>
          <w:lang w:eastAsia="es-CO"/>
        </w:rPr>
        <w:t>las pretensiones de la demanda, de conformidad con las consideraciones expuestas en la parte motiva de esta providencia.</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TERCERO: </w:t>
      </w:r>
      <w:r w:rsidRPr="00C6121C">
        <w:rPr>
          <w:rFonts w:ascii="Segoe UI" w:eastAsia="Times New Roman" w:hAnsi="Segoe UI" w:cs="Segoe UI"/>
          <w:i/>
          <w:iCs/>
          <w:color w:val="000000"/>
          <w:sz w:val="18"/>
          <w:szCs w:val="18"/>
          <w:lang w:eastAsia="es-CO"/>
        </w:rPr>
        <w:t>Sin condena en costas».</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ANTECEDENTES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14 de mayo de 2002, Julio Efrén Gómez Moreno presentó la declaración del impuesto sobre la renta del año gravable 2001</w:t>
      </w:r>
      <w:bookmarkStart w:id="0" w:name="_ftnref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w:t>
      </w:r>
      <w:r w:rsidRPr="00C6121C">
        <w:rPr>
          <w:rFonts w:ascii="Segoe UI" w:eastAsia="Times New Roman" w:hAnsi="Segoe UI" w:cs="Segoe UI"/>
          <w:color w:val="000000"/>
          <w:sz w:val="18"/>
          <w:szCs w:val="18"/>
          <w:lang w:eastAsia="es-CO"/>
        </w:rPr>
        <w:fldChar w:fldCharType="end"/>
      </w:r>
      <w:bookmarkEnd w:id="0"/>
      <w:r w:rsidRPr="00C6121C">
        <w:rPr>
          <w:rFonts w:ascii="Segoe UI" w:eastAsia="Times New Roman" w:hAnsi="Segoe UI" w:cs="Segoe UI"/>
          <w:color w:val="000000"/>
          <w:sz w:val="18"/>
          <w:szCs w:val="18"/>
          <w:lang w:eastAsia="es-CO"/>
        </w:rPr>
        <w:t>, en la cual registró un saldo a favor de $1.224.000.</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29 de mayo de 2002, la División de Fiscalización Tributaria de la Administración de Impuestos y Aduanas Nacionales de Medellín expidió el Auto de Apertura 110632002001580</w:t>
      </w:r>
      <w:bookmarkStart w:id="1" w:name="_ftnref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w:t>
      </w:r>
      <w:r w:rsidRPr="00C6121C">
        <w:rPr>
          <w:rFonts w:ascii="Segoe UI" w:eastAsia="Times New Roman" w:hAnsi="Segoe UI" w:cs="Segoe UI"/>
          <w:color w:val="000000"/>
          <w:sz w:val="18"/>
          <w:szCs w:val="18"/>
          <w:lang w:eastAsia="es-CO"/>
        </w:rPr>
        <w:fldChar w:fldCharType="end"/>
      </w:r>
      <w:bookmarkEnd w:id="1"/>
      <w:r w:rsidRPr="00C6121C">
        <w:rPr>
          <w:rFonts w:ascii="Segoe UI" w:eastAsia="Times New Roman" w:hAnsi="Segoe UI" w:cs="Segoe UI"/>
          <w:color w:val="000000"/>
          <w:sz w:val="18"/>
          <w:szCs w:val="18"/>
          <w:lang w:eastAsia="es-CO"/>
        </w:rPr>
        <w:t>, mediante el cual inició investigación al contribuyente por el programa </w:t>
      </w:r>
      <w:r w:rsidRPr="00C6121C">
        <w:rPr>
          <w:rFonts w:ascii="Segoe UI" w:eastAsia="Times New Roman" w:hAnsi="Segoe UI" w:cs="Segoe UI"/>
          <w:i/>
          <w:iCs/>
          <w:color w:val="000000"/>
          <w:sz w:val="18"/>
          <w:szCs w:val="18"/>
          <w:lang w:eastAsia="es-CO"/>
        </w:rPr>
        <w:t>«DENUNCIAS DE TERCEROS».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24 de febrero de 2003, la citada División de Fiscalización Tributaria profirió el Requerimiento Ordinario 110632003000069</w:t>
      </w:r>
      <w:bookmarkStart w:id="2" w:name="_ftnref3"/>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w:t>
      </w:r>
      <w:r w:rsidRPr="00C6121C">
        <w:rPr>
          <w:rFonts w:ascii="Segoe UI" w:eastAsia="Times New Roman" w:hAnsi="Segoe UI" w:cs="Segoe UI"/>
          <w:color w:val="000000"/>
          <w:sz w:val="18"/>
          <w:szCs w:val="18"/>
          <w:lang w:eastAsia="es-CO"/>
        </w:rPr>
        <w:fldChar w:fldCharType="end"/>
      </w:r>
      <w:bookmarkEnd w:id="2"/>
      <w:r w:rsidRPr="00C6121C">
        <w:rPr>
          <w:rFonts w:ascii="Segoe UI" w:eastAsia="Times New Roman" w:hAnsi="Segoe UI" w:cs="Segoe UI"/>
          <w:color w:val="000000"/>
          <w:sz w:val="18"/>
          <w:szCs w:val="18"/>
          <w:lang w:eastAsia="es-CO"/>
        </w:rPr>
        <w:t>, y el 25 de febrero del mismo año el Auto de Inspección Contable 110632003000014</w:t>
      </w:r>
      <w:bookmarkStart w:id="3" w:name="_ftnref4"/>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w:t>
      </w:r>
      <w:r w:rsidRPr="00C6121C">
        <w:rPr>
          <w:rFonts w:ascii="Segoe UI" w:eastAsia="Times New Roman" w:hAnsi="Segoe UI" w:cs="Segoe UI"/>
          <w:color w:val="000000"/>
          <w:sz w:val="18"/>
          <w:szCs w:val="18"/>
          <w:lang w:eastAsia="es-CO"/>
        </w:rPr>
        <w:fldChar w:fldCharType="end"/>
      </w:r>
      <w:bookmarkEnd w:id="3"/>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24 de febrero de 2003, la División de Fiscalización Tributaria de la Administración de Impuestos y Aduanas referida formuló el Requerimiento Especial 110632004000148</w:t>
      </w:r>
      <w:bookmarkStart w:id="4" w:name="_ftnref5"/>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w:t>
      </w:r>
      <w:r w:rsidRPr="00C6121C">
        <w:rPr>
          <w:rFonts w:ascii="Segoe UI" w:eastAsia="Times New Roman" w:hAnsi="Segoe UI" w:cs="Segoe UI"/>
          <w:color w:val="000000"/>
          <w:sz w:val="18"/>
          <w:szCs w:val="18"/>
          <w:lang w:eastAsia="es-CO"/>
        </w:rPr>
        <w:fldChar w:fldCharType="end"/>
      </w:r>
      <w:bookmarkEnd w:id="4"/>
      <w:r w:rsidRPr="00C6121C">
        <w:rPr>
          <w:rFonts w:ascii="Segoe UI" w:eastAsia="Times New Roman" w:hAnsi="Segoe UI" w:cs="Segoe UI"/>
          <w:color w:val="000000"/>
          <w:sz w:val="18"/>
          <w:szCs w:val="18"/>
          <w:lang w:eastAsia="es-CO"/>
        </w:rPr>
        <w:t>, en el que propuso el rechazo de pasivos ($251.325.000), costos ($330.613.000), deducciones ($64.047.000) y retenciones ($1.695.000), y la imposición de las sanciones por inexactitud y libros de contabilidad ($218.555.000</w:t>
      </w:r>
      <w:bookmarkStart w:id="5" w:name="_ftnref6"/>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"_ftn6"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[6]</w:t>
      </w:r>
      <w:r w:rsidRPr="00C6121C">
        <w:rPr>
          <w:rFonts w:ascii="Segoe UI" w:eastAsia="Times New Roman" w:hAnsi="Segoe UI" w:cs="Segoe UI"/>
          <w:color w:val="000000"/>
          <w:sz w:val="18"/>
          <w:szCs w:val="18"/>
          <w:lang w:eastAsia="es-CO"/>
        </w:rPr>
        <w:fldChar w:fldCharType="end"/>
      </w:r>
      <w:bookmarkEnd w:id="5"/>
      <w:r w:rsidRPr="00C6121C">
        <w:rPr>
          <w:rFonts w:ascii="Segoe UI" w:eastAsia="Times New Roman" w:hAnsi="Segoe UI" w:cs="Segoe UI"/>
          <w:color w:val="000000"/>
          <w:sz w:val="18"/>
          <w:szCs w:val="18"/>
          <w:lang w:eastAsia="es-CO"/>
        </w:rPr>
        <w:t>). El actor no respondió el acto administrativo señalado.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Mediante la Liquidación Oficial de Revisión 110642004000184 del 17 de diciembre de 2004</w:t>
      </w:r>
      <w:bookmarkStart w:id="6" w:name="_ftnref7"/>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"_ftn7"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[7]</w:t>
      </w:r>
      <w:r w:rsidRPr="00C6121C">
        <w:rPr>
          <w:rFonts w:ascii="Segoe UI" w:eastAsia="Times New Roman" w:hAnsi="Segoe UI" w:cs="Segoe UI"/>
          <w:color w:val="000000"/>
          <w:sz w:val="18"/>
          <w:szCs w:val="18"/>
          <w:lang w:eastAsia="es-CO"/>
        </w:rPr>
        <w:fldChar w:fldCharType="end"/>
      </w:r>
      <w:bookmarkEnd w:id="6"/>
      <w:r w:rsidRPr="00C6121C">
        <w:rPr>
          <w:rFonts w:ascii="Segoe UI" w:eastAsia="Times New Roman" w:hAnsi="Segoe UI" w:cs="Segoe UI"/>
          <w:color w:val="000000"/>
          <w:sz w:val="18"/>
          <w:szCs w:val="18"/>
          <w:lang w:eastAsia="es-CO"/>
        </w:rPr>
        <w:t>, la División de Liquidación Tributaria de la Administración de Impuestos y Aduanas Nacionales de Medellín acogió las glosas propuestas en el requerimiento especial.</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Contra el acto de determinación del tributo el actor interpuso recurso de reconsideración</w:t>
      </w:r>
      <w:bookmarkStart w:id="7" w:name="_ftnref8"/>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"_ftn8"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[8]</w:t>
      </w:r>
      <w:r w:rsidRPr="00C6121C">
        <w:rPr>
          <w:rFonts w:ascii="Segoe UI" w:eastAsia="Times New Roman" w:hAnsi="Segoe UI" w:cs="Segoe UI"/>
          <w:color w:val="000000"/>
          <w:sz w:val="18"/>
          <w:szCs w:val="18"/>
          <w:lang w:eastAsia="es-CO"/>
        </w:rPr>
        <w:fldChar w:fldCharType="end"/>
      </w:r>
      <w:bookmarkEnd w:id="7"/>
      <w:r w:rsidRPr="00C6121C">
        <w:rPr>
          <w:rFonts w:ascii="Segoe UI" w:eastAsia="Times New Roman" w:hAnsi="Segoe UI" w:cs="Segoe UI"/>
          <w:color w:val="000000"/>
          <w:sz w:val="18"/>
          <w:szCs w:val="18"/>
          <w:lang w:eastAsia="es-CO"/>
        </w:rPr>
        <w:t>, el cual fue decidido por la Resolución 110662006000002 del 31 de enero de 2006</w:t>
      </w:r>
      <w:bookmarkStart w:id="8" w:name="_ftnref9"/>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"_ftn9"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[9]</w:t>
      </w:r>
      <w:r w:rsidRPr="00C6121C">
        <w:rPr>
          <w:rFonts w:ascii="Segoe UI" w:eastAsia="Times New Roman" w:hAnsi="Segoe UI" w:cs="Segoe UI"/>
          <w:color w:val="000000"/>
          <w:sz w:val="18"/>
          <w:szCs w:val="18"/>
          <w:lang w:eastAsia="es-CO"/>
        </w:rPr>
        <w:fldChar w:fldCharType="end"/>
      </w:r>
      <w:bookmarkEnd w:id="8"/>
      <w:r w:rsidRPr="00C6121C">
        <w:rPr>
          <w:rFonts w:ascii="Segoe UI" w:eastAsia="Times New Roman" w:hAnsi="Segoe UI" w:cs="Segoe UI"/>
          <w:color w:val="000000"/>
          <w:sz w:val="18"/>
          <w:szCs w:val="18"/>
          <w:lang w:eastAsia="es-CO"/>
        </w:rPr>
        <w:t xml:space="preserve">, emitida por la División Jurídica Tributaria de </w:t>
      </w:r>
      <w:r w:rsidRPr="00C6121C">
        <w:rPr>
          <w:rFonts w:ascii="Segoe UI" w:eastAsia="Times New Roman" w:hAnsi="Segoe UI" w:cs="Segoe UI"/>
          <w:color w:val="000000"/>
          <w:sz w:val="18"/>
          <w:szCs w:val="18"/>
          <w:lang w:eastAsia="es-CO"/>
        </w:rPr>
        <w:lastRenderedPageBreak/>
        <w:t>la Administración de Impuestos y Aduanas Nacionales de Medellín, en el sentido de confirmar la liquidación oficial de revisión.</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DEMANDA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demandante, en ejercicio de la acción de nulidad y restablecimiento establecida en el artículo 85 del Código Contencioso Administrativo, formuló las siguientes pretensiones:</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«PRIMERO:</w:t>
      </w:r>
      <w:r w:rsidRPr="00C6121C">
        <w:rPr>
          <w:rFonts w:ascii="Segoe UI" w:eastAsia="Times New Roman" w:hAnsi="Segoe UI" w:cs="Segoe UI"/>
          <w:i/>
          <w:iCs/>
          <w:color w:val="000000"/>
          <w:sz w:val="18"/>
          <w:szCs w:val="18"/>
          <w:lang w:eastAsia="es-CO"/>
        </w:rPr>
        <w:t> Que se declare la “NULIDAD” de las Resoluciones números 110642004000184 de fecha 17 de diciembre de 2004 de la División de Liquidación Tributaria y su confirmatoria la No. 110 662 006 000 002 de enero 31 de 2006 de la División Jurídica Tributaria, ambas Resoluciones expedidas por la Administración Local de Impuestos de Medellín, DIAN, mediante las cuales se profirió Liquidación Oficial de Revisión por concepto de impuesto sobre la renta correspondiente al período gravable 2001.</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SEGUNDO:</w:t>
      </w:r>
      <w:r w:rsidRPr="00C6121C">
        <w:rPr>
          <w:rFonts w:ascii="Segoe UI" w:eastAsia="Times New Roman" w:hAnsi="Segoe UI" w:cs="Segoe UI"/>
          <w:i/>
          <w:iCs/>
          <w:color w:val="000000"/>
          <w:sz w:val="18"/>
          <w:szCs w:val="18"/>
          <w:lang w:eastAsia="es-CO"/>
        </w:rPr>
        <w:t> Como efecto jurídico de lo anterior, se ordene que el señor JULIO EFRÉN GÓMEZ MORENO, no adeuda suma alguna a la Dirección de Impuestos y Aduanas Nacionales por concepto de la liquidación oficial de revisión de la declaración de renta correspondiente al período gravable 2001.</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TERCERO:</w:t>
      </w:r>
      <w:r w:rsidRPr="00C6121C">
        <w:rPr>
          <w:rFonts w:ascii="Segoe UI" w:eastAsia="Times New Roman" w:hAnsi="Segoe UI" w:cs="Segoe UI"/>
          <w:i/>
          <w:iCs/>
          <w:color w:val="000000"/>
          <w:sz w:val="18"/>
          <w:szCs w:val="18"/>
          <w:lang w:eastAsia="es-CO"/>
        </w:rPr>
        <w:t> Como efecto jurídico de las anteriores declaraciones, se ordene el restablecimiento del derecho, dejando sin efecto las providencias que formularon la liquidación oficial de revisión».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Invocó como disposiciones violadas, las siguientes: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Artículos 2, 4, 6, 29, 83 y 363 de la Constitución Política</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Artículos 3, 5, 6, 7, 10, 11, 12, 13, 14, 15, 27, 35, 43 y s.s. del Código Contencioso Administrativo</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hyperlink r:id="rId5" w:tooltip="Estatuto Tributario CETA" w:history="1">
        <w:r w:rsidRPr="00C6121C">
          <w:rPr>
            <w:rFonts w:ascii="Segoe UI" w:eastAsia="Times New Roman" w:hAnsi="Segoe UI" w:cs="Segoe UI"/>
            <w:color w:val="0089E1"/>
            <w:sz w:val="18"/>
            <w:szCs w:val="18"/>
            <w:lang w:eastAsia="es-CO"/>
          </w:rPr>
          <w:t>82</w:t>
        </w:r>
      </w:hyperlink>
      <w:r w:rsidRPr="00C6121C">
        <w:rPr>
          <w:rFonts w:ascii="Segoe UI" w:eastAsia="Times New Roman" w:hAnsi="Segoe UI" w:cs="Segoe UI"/>
          <w:color w:val="000000"/>
          <w:sz w:val="18"/>
          <w:szCs w:val="18"/>
          <w:lang w:eastAsia="es-CO"/>
        </w:rPr>
        <w:t>, </w:t>
      </w:r>
      <w:hyperlink r:id="rId6" w:tooltip="Estatuto Tributario CETA" w:history="1">
        <w:r w:rsidRPr="00C6121C">
          <w:rPr>
            <w:rFonts w:ascii="Segoe UI" w:eastAsia="Times New Roman" w:hAnsi="Segoe UI" w:cs="Segoe UI"/>
            <w:color w:val="0089E1"/>
            <w:sz w:val="18"/>
            <w:szCs w:val="18"/>
            <w:lang w:eastAsia="es-CO"/>
          </w:rPr>
          <w:t>647</w:t>
        </w:r>
      </w:hyperlink>
      <w:r w:rsidRPr="00C6121C">
        <w:rPr>
          <w:rFonts w:ascii="Segoe UI" w:eastAsia="Times New Roman" w:hAnsi="Segoe UI" w:cs="Segoe UI"/>
          <w:color w:val="000000"/>
          <w:sz w:val="18"/>
          <w:szCs w:val="18"/>
          <w:lang w:eastAsia="es-CO"/>
        </w:rPr>
        <w:t>, </w:t>
      </w:r>
      <w:hyperlink r:id="rId7" w:tooltip="Estatuto Tributario CETA" w:history="1">
        <w:r w:rsidRPr="00C6121C">
          <w:rPr>
            <w:rFonts w:ascii="Segoe UI" w:eastAsia="Times New Roman" w:hAnsi="Segoe UI" w:cs="Segoe UI"/>
            <w:color w:val="0089E1"/>
            <w:sz w:val="18"/>
            <w:szCs w:val="18"/>
            <w:lang w:eastAsia="es-CO"/>
          </w:rPr>
          <w:t>683</w:t>
        </w:r>
      </w:hyperlink>
      <w:r w:rsidRPr="00C6121C">
        <w:rPr>
          <w:rFonts w:ascii="Segoe UI" w:eastAsia="Times New Roman" w:hAnsi="Segoe UI" w:cs="Segoe UI"/>
          <w:color w:val="000000"/>
          <w:sz w:val="18"/>
          <w:szCs w:val="18"/>
          <w:lang w:eastAsia="es-CO"/>
        </w:rPr>
        <w:t>, </w:t>
      </w:r>
      <w:hyperlink r:id="rId8" w:tooltip="Estatuto Tributario CETA" w:history="1">
        <w:r w:rsidRPr="00C6121C">
          <w:rPr>
            <w:rFonts w:ascii="Segoe UI" w:eastAsia="Times New Roman" w:hAnsi="Segoe UI" w:cs="Segoe UI"/>
            <w:color w:val="0089E1"/>
            <w:sz w:val="18"/>
            <w:szCs w:val="18"/>
            <w:lang w:eastAsia="es-CO"/>
          </w:rPr>
          <w:t>684</w:t>
        </w:r>
      </w:hyperlink>
      <w:r w:rsidRPr="00C6121C">
        <w:rPr>
          <w:rFonts w:ascii="Segoe UI" w:eastAsia="Times New Roman" w:hAnsi="Segoe UI" w:cs="Segoe UI"/>
          <w:color w:val="000000"/>
          <w:sz w:val="18"/>
          <w:szCs w:val="18"/>
          <w:lang w:eastAsia="es-CO"/>
        </w:rPr>
        <w:t>, </w:t>
      </w:r>
      <w:hyperlink r:id="rId9" w:tooltip="Estatuto Tributario CETA" w:history="1">
        <w:r w:rsidRPr="00C6121C">
          <w:rPr>
            <w:rFonts w:ascii="Segoe UI" w:eastAsia="Times New Roman" w:hAnsi="Segoe UI" w:cs="Segoe UI"/>
            <w:color w:val="0089E1"/>
            <w:sz w:val="18"/>
            <w:szCs w:val="18"/>
            <w:lang w:eastAsia="es-CO"/>
          </w:rPr>
          <w:t>685</w:t>
        </w:r>
      </w:hyperlink>
      <w:r w:rsidRPr="00C6121C">
        <w:rPr>
          <w:rFonts w:ascii="Segoe UI" w:eastAsia="Times New Roman" w:hAnsi="Segoe UI" w:cs="Segoe UI"/>
          <w:color w:val="000000"/>
          <w:sz w:val="18"/>
          <w:szCs w:val="18"/>
          <w:lang w:eastAsia="es-CO"/>
        </w:rPr>
        <w:t>, </w:t>
      </w:r>
      <w:hyperlink r:id="rId10" w:tooltip="Estatuto Tributario CETA" w:history="1">
        <w:r w:rsidRPr="00C6121C">
          <w:rPr>
            <w:rFonts w:ascii="Segoe UI" w:eastAsia="Times New Roman" w:hAnsi="Segoe UI" w:cs="Segoe UI"/>
            <w:color w:val="0089E1"/>
            <w:sz w:val="18"/>
            <w:szCs w:val="18"/>
            <w:lang w:eastAsia="es-CO"/>
          </w:rPr>
          <w:t>698</w:t>
        </w:r>
      </w:hyperlink>
      <w:r w:rsidRPr="00C6121C">
        <w:rPr>
          <w:rFonts w:ascii="Segoe UI" w:eastAsia="Times New Roman" w:hAnsi="Segoe UI" w:cs="Segoe UI"/>
          <w:color w:val="000000"/>
          <w:sz w:val="18"/>
          <w:szCs w:val="18"/>
          <w:lang w:eastAsia="es-CO"/>
        </w:rPr>
        <w:t>, </w:t>
      </w:r>
      <w:hyperlink r:id="rId11" w:tooltip="Estatuto Tributario CETA" w:history="1">
        <w:r w:rsidRPr="00C6121C">
          <w:rPr>
            <w:rFonts w:ascii="Segoe UI" w:eastAsia="Times New Roman" w:hAnsi="Segoe UI" w:cs="Segoe UI"/>
            <w:color w:val="0089E1"/>
            <w:sz w:val="18"/>
            <w:szCs w:val="18"/>
            <w:lang w:eastAsia="es-CO"/>
          </w:rPr>
          <w:t>709</w:t>
        </w:r>
      </w:hyperlink>
      <w:r w:rsidRPr="00C6121C">
        <w:rPr>
          <w:rFonts w:ascii="Segoe UI" w:eastAsia="Times New Roman" w:hAnsi="Segoe UI" w:cs="Segoe UI"/>
          <w:color w:val="000000"/>
          <w:sz w:val="18"/>
          <w:szCs w:val="18"/>
          <w:lang w:eastAsia="es-CO"/>
        </w:rPr>
        <w:t>, </w:t>
      </w:r>
      <w:hyperlink r:id="rId12" w:tooltip="Estatuto Tributario CETA" w:history="1">
        <w:r w:rsidRPr="00C6121C">
          <w:rPr>
            <w:rFonts w:ascii="Segoe UI" w:eastAsia="Times New Roman" w:hAnsi="Segoe UI" w:cs="Segoe UI"/>
            <w:color w:val="0089E1"/>
            <w:sz w:val="18"/>
            <w:szCs w:val="18"/>
            <w:lang w:eastAsia="es-CO"/>
          </w:rPr>
          <w:t>713</w:t>
        </w:r>
      </w:hyperlink>
      <w:r w:rsidRPr="00C6121C">
        <w:rPr>
          <w:rFonts w:ascii="Segoe UI" w:eastAsia="Times New Roman" w:hAnsi="Segoe UI" w:cs="Segoe UI"/>
          <w:color w:val="000000"/>
          <w:sz w:val="18"/>
          <w:szCs w:val="18"/>
          <w:lang w:eastAsia="es-CO"/>
        </w:rPr>
        <w:t>, </w:t>
      </w:r>
      <w:hyperlink r:id="rId13" w:tooltip="Estatuto Tributario CETA" w:history="1">
        <w:r w:rsidRPr="00C6121C">
          <w:rPr>
            <w:rFonts w:ascii="Segoe UI" w:eastAsia="Times New Roman" w:hAnsi="Segoe UI" w:cs="Segoe UI"/>
            <w:color w:val="0089E1"/>
            <w:sz w:val="18"/>
            <w:szCs w:val="18"/>
            <w:lang w:eastAsia="es-CO"/>
          </w:rPr>
          <w:t>730</w:t>
        </w:r>
      </w:hyperlink>
      <w:r w:rsidRPr="00C6121C">
        <w:rPr>
          <w:rFonts w:ascii="Segoe UI" w:eastAsia="Times New Roman" w:hAnsi="Segoe UI" w:cs="Segoe UI"/>
          <w:color w:val="000000"/>
          <w:sz w:val="18"/>
          <w:szCs w:val="18"/>
          <w:lang w:eastAsia="es-CO"/>
        </w:rPr>
        <w:t>-4, </w:t>
      </w:r>
      <w:hyperlink r:id="rId14" w:tooltip="Estatuto Tributario CETA" w:history="1">
        <w:r w:rsidRPr="00C6121C">
          <w:rPr>
            <w:rFonts w:ascii="Segoe UI" w:eastAsia="Times New Roman" w:hAnsi="Segoe UI" w:cs="Segoe UI"/>
            <w:color w:val="0089E1"/>
            <w:sz w:val="18"/>
            <w:szCs w:val="18"/>
            <w:lang w:eastAsia="es-CO"/>
          </w:rPr>
          <w:t>743</w:t>
        </w:r>
      </w:hyperlink>
      <w:r w:rsidRPr="00C6121C">
        <w:rPr>
          <w:rFonts w:ascii="Segoe UI" w:eastAsia="Times New Roman" w:hAnsi="Segoe UI" w:cs="Segoe UI"/>
          <w:color w:val="000000"/>
          <w:sz w:val="18"/>
          <w:szCs w:val="18"/>
          <w:lang w:eastAsia="es-CO"/>
        </w:rPr>
        <w:t>, y </w:t>
      </w:r>
      <w:hyperlink r:id="rId15" w:tooltip="Estatuto Tributario CETA" w:history="1">
        <w:r w:rsidRPr="00C6121C">
          <w:rPr>
            <w:rFonts w:ascii="Segoe UI" w:eastAsia="Times New Roman" w:hAnsi="Segoe UI" w:cs="Segoe UI"/>
            <w:color w:val="0089E1"/>
            <w:sz w:val="18"/>
            <w:szCs w:val="18"/>
            <w:lang w:eastAsia="es-CO"/>
          </w:rPr>
          <w:t>781</w:t>
        </w:r>
      </w:hyperlink>
      <w:r w:rsidRPr="00C6121C">
        <w:rPr>
          <w:rFonts w:ascii="Segoe UI" w:eastAsia="Times New Roman" w:hAnsi="Segoe UI" w:cs="Segoe UI"/>
          <w:color w:val="000000"/>
          <w:sz w:val="18"/>
          <w:szCs w:val="18"/>
          <w:lang w:eastAsia="es-CO"/>
        </w:rPr>
        <w:t> del Estatuto Tributario y,</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Artículos 174 y 185 del Código de Procedimiento Civil</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Como concepto de la violación expuso, en síntesis, lo siguiente: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Dijo que se violó el debido proceso y el espíritu de justicia, porque las pruebas que soportan los costos y las deducciones no fueron valoradas, y los actos demandados no consultaron el origen de los ingresos informados que </w:t>
      </w:r>
      <w:r w:rsidRPr="00C6121C">
        <w:rPr>
          <w:rFonts w:ascii="Segoe UI" w:eastAsia="Times New Roman" w:hAnsi="Segoe UI" w:cs="Segoe UI"/>
          <w:i/>
          <w:iCs/>
          <w:color w:val="000000"/>
          <w:sz w:val="18"/>
          <w:szCs w:val="18"/>
          <w:lang w:eastAsia="es-CO"/>
        </w:rPr>
        <w:t>«necesariamente exigen un costo paralelo», </w:t>
      </w:r>
      <w:r w:rsidRPr="00C6121C">
        <w:rPr>
          <w:rFonts w:ascii="Segoe UI" w:eastAsia="Times New Roman" w:hAnsi="Segoe UI" w:cs="Segoe UI"/>
          <w:color w:val="000000"/>
          <w:sz w:val="18"/>
          <w:szCs w:val="18"/>
          <w:lang w:eastAsia="es-CO"/>
        </w:rPr>
        <w:t>y debieron aplicar el costo presunto establecido en el </w:t>
      </w:r>
      <w:hyperlink r:id="rId16" w:tooltip="Estatuto Tributario CETA" w:history="1">
        <w:r w:rsidRPr="00C6121C">
          <w:rPr>
            <w:rFonts w:ascii="Segoe UI" w:eastAsia="Times New Roman" w:hAnsi="Segoe UI" w:cs="Segoe UI"/>
            <w:color w:val="0089E1"/>
            <w:sz w:val="18"/>
            <w:szCs w:val="18"/>
            <w:lang w:eastAsia="es-CO"/>
          </w:rPr>
          <w:t>artículo 82</w:t>
        </w:r>
      </w:hyperlink>
      <w:r w:rsidRPr="00C6121C">
        <w:rPr>
          <w:rFonts w:ascii="Segoe UI" w:eastAsia="Times New Roman" w:hAnsi="Segoe UI" w:cs="Segoe UI"/>
          <w:color w:val="000000"/>
          <w:sz w:val="18"/>
          <w:szCs w:val="18"/>
          <w:lang w:eastAsia="es-CO"/>
        </w:rPr>
        <w:t> del Estatuto Tributario.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Adujo que el </w:t>
      </w:r>
      <w:hyperlink r:id="rId17"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prevé el desconocimiento de costos, deducciones y pasivos cuando el contribuyente no presente libros de contabilidad, lo cual constituye un indicio en contra que no implica la desestimación de dichos conceptos, pues se pueden determinar mediante los estudios económicos o estadísticos previstos en el </w:t>
      </w:r>
      <w:hyperlink r:id="rId18" w:tooltip="Estatuto Tributario CETA" w:history="1">
        <w:r w:rsidRPr="00C6121C">
          <w:rPr>
            <w:rFonts w:ascii="Segoe UI" w:eastAsia="Times New Roman" w:hAnsi="Segoe UI" w:cs="Segoe UI"/>
            <w:color w:val="0089E1"/>
            <w:sz w:val="18"/>
            <w:szCs w:val="18"/>
            <w:lang w:eastAsia="es-CO"/>
          </w:rPr>
          <w:t>artículo 82</w:t>
        </w:r>
      </w:hyperlink>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ibídem.</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Sostuvo que los actos demandados son nulos, porque desconocieron las retenciones en la fuente declaradas con fundamento en el </w:t>
      </w:r>
      <w:hyperlink r:id="rId19"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que no contempla el desconocimiento de tal concepto.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Manifestó que no procede la sanción por inexactitud, porque la comprobación insuficiente de costos y deducciones no se puede confundir con la inexistencia de los mismos, y la no presentación de la contabilidad solo implica la sanción por libros (</w:t>
      </w:r>
      <w:hyperlink r:id="rId20" w:tooltip="Estatuto Tributario CETA" w:history="1">
        <w:r w:rsidRPr="00C6121C">
          <w:rPr>
            <w:rFonts w:ascii="Segoe UI" w:eastAsia="Times New Roman" w:hAnsi="Segoe UI" w:cs="Segoe UI"/>
            <w:color w:val="0089E1"/>
            <w:sz w:val="18"/>
            <w:szCs w:val="18"/>
            <w:lang w:eastAsia="es-CO"/>
          </w:rPr>
          <w:t>Art. 655</w:t>
        </w:r>
      </w:hyperlink>
      <w:r w:rsidRPr="00C6121C">
        <w:rPr>
          <w:rFonts w:ascii="Segoe UI" w:eastAsia="Times New Roman" w:hAnsi="Segoe UI" w:cs="Segoe UI"/>
          <w:color w:val="000000"/>
          <w:sz w:val="18"/>
          <w:szCs w:val="18"/>
          <w:lang w:eastAsia="es-CO"/>
        </w:rPr>
        <w:t> del Estatuto Tributario).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OPOSICIÓN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entidad demandada no contestó la demanda</w:t>
      </w:r>
      <w:bookmarkStart w:id="9" w:name="_ftnref10"/>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"_ftn10"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[10]</w:t>
      </w:r>
      <w:r w:rsidRPr="00C6121C">
        <w:rPr>
          <w:rFonts w:ascii="Segoe UI" w:eastAsia="Times New Roman" w:hAnsi="Segoe UI" w:cs="Segoe UI"/>
          <w:color w:val="000000"/>
          <w:sz w:val="18"/>
          <w:szCs w:val="18"/>
          <w:lang w:eastAsia="es-CO"/>
        </w:rPr>
        <w:fldChar w:fldCharType="end"/>
      </w:r>
      <w:bookmarkEnd w:id="9"/>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SENTENCIA APELADA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Tribunal Administrativo de Antioquia declaró probada de oficio la excepción de falta de agotamiento de la vía gubernativa en relación con los cargos de </w:t>
      </w:r>
      <w:r w:rsidRPr="00C6121C">
        <w:rPr>
          <w:rFonts w:ascii="Segoe UI" w:eastAsia="Times New Roman" w:hAnsi="Segoe UI" w:cs="Segoe UI"/>
          <w:i/>
          <w:iCs/>
          <w:color w:val="000000"/>
          <w:sz w:val="18"/>
          <w:szCs w:val="18"/>
          <w:lang w:eastAsia="es-CO"/>
        </w:rPr>
        <w:t>«indebido desconocimiento de costos y deducciones, por violación del </w:t>
      </w:r>
      <w:hyperlink r:id="rId21" w:tooltip="Estatuto Tributario CETA" w:history="1">
        <w:r w:rsidRPr="00C6121C">
          <w:rPr>
            <w:rFonts w:ascii="Segoe UI" w:eastAsia="Times New Roman" w:hAnsi="Segoe UI" w:cs="Segoe UI"/>
            <w:i/>
            <w:iCs/>
            <w:color w:val="0089E1"/>
            <w:sz w:val="18"/>
            <w:szCs w:val="18"/>
            <w:lang w:eastAsia="es-CO"/>
          </w:rPr>
          <w:t>artículo 82</w:t>
        </w:r>
      </w:hyperlink>
      <w:r w:rsidRPr="00C6121C">
        <w:rPr>
          <w:rFonts w:ascii="Segoe UI" w:eastAsia="Times New Roman" w:hAnsi="Segoe UI" w:cs="Segoe UI"/>
          <w:i/>
          <w:iCs/>
          <w:color w:val="000000"/>
          <w:sz w:val="18"/>
          <w:szCs w:val="18"/>
          <w:lang w:eastAsia="es-CO"/>
        </w:rPr>
        <w:t> del Estatuto Tributario, indebido rechazo de las retenciones en la fuente e indebida aplicación de la sanción por inexactitud», </w:t>
      </w:r>
      <w:r w:rsidRPr="00C6121C">
        <w:rPr>
          <w:rFonts w:ascii="Segoe UI" w:eastAsia="Times New Roman" w:hAnsi="Segoe UI" w:cs="Segoe UI"/>
          <w:color w:val="000000"/>
          <w:sz w:val="18"/>
          <w:szCs w:val="18"/>
          <w:lang w:eastAsia="es-CO"/>
        </w:rPr>
        <w:t>negó las pretensiones de la demanda y no condenó en costas, por los siguientes motivos: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Señaló que en la demanda se formularon cargos no controvertidos en la actuación administrativa</w:t>
      </w:r>
      <w:bookmarkStart w:id="10" w:name="_ftnref1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[11]</w:t>
      </w:r>
      <w:r w:rsidRPr="00C6121C">
        <w:rPr>
          <w:rFonts w:ascii="Segoe UI" w:eastAsia="Times New Roman" w:hAnsi="Segoe UI" w:cs="Segoe UI"/>
          <w:color w:val="000000"/>
          <w:sz w:val="18"/>
          <w:szCs w:val="18"/>
          <w:lang w:eastAsia="es-CO"/>
        </w:rPr>
        <w:fldChar w:fldCharType="end"/>
      </w:r>
      <w:bookmarkEnd w:id="10"/>
      <w:r w:rsidRPr="00C6121C">
        <w:rPr>
          <w:rFonts w:ascii="Segoe UI" w:eastAsia="Times New Roman" w:hAnsi="Segoe UI" w:cs="Segoe UI"/>
          <w:color w:val="000000"/>
          <w:sz w:val="18"/>
          <w:szCs w:val="18"/>
          <w:lang w:eastAsia="es-CO"/>
        </w:rPr>
        <w:t>, en la cual el actor cuestionó el indebido desconocimiento de costos y deducciones por la presentación de los soportes respectivos, sin referirse al costo presunto, al rechazo de retenciones en la fuente y a la sanción por inexactitud.</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Expuso que en la actuación administrativa el contribuyente presentó la información contable incompleta, e informó una dirección errada para realizar las verificaciones en relación con la declaración de renta del año 2001, lo cual impidió practicar inspección contable.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Sostuvo que en virtud del </w:t>
      </w:r>
      <w:hyperlink r:id="rId22"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la información contable solicitada no podía aportarse con posterioridad al momento en que se exigió, y que si bien con la demanda se pueden presentar las pruebas de las afirmaciones del demandante, </w:t>
      </w:r>
      <w:r w:rsidRPr="00C6121C">
        <w:rPr>
          <w:rFonts w:ascii="Segoe UI" w:eastAsia="Times New Roman" w:hAnsi="Segoe UI" w:cs="Segoe UI"/>
          <w:i/>
          <w:iCs/>
          <w:color w:val="000000"/>
          <w:sz w:val="18"/>
          <w:szCs w:val="18"/>
          <w:lang w:eastAsia="es-CO"/>
        </w:rPr>
        <w:t>«no se puede pretender perfeccionar las que por negligencia no se aportaron en legal forma», </w:t>
      </w:r>
      <w:r w:rsidRPr="00C6121C">
        <w:rPr>
          <w:rFonts w:ascii="Segoe UI" w:eastAsia="Times New Roman" w:hAnsi="Segoe UI" w:cs="Segoe UI"/>
          <w:color w:val="000000"/>
          <w:sz w:val="18"/>
          <w:szCs w:val="18"/>
          <w:lang w:eastAsia="es-CO"/>
        </w:rPr>
        <w:t>cuando no se demuestran circunstancias de fuerza mayor o caso fortuito.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No condenó en costas porque no se presentó una conducta dilatoria o de mala fe en el proceso.</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RECURSO DE APELACIÓN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El demandante</w:t>
      </w:r>
      <w:r w:rsidRPr="00C6121C">
        <w:rPr>
          <w:rFonts w:ascii="Segoe UI" w:eastAsia="Times New Roman" w:hAnsi="Segoe UI" w:cs="Segoe UI"/>
          <w:color w:val="000000"/>
          <w:sz w:val="18"/>
          <w:szCs w:val="18"/>
          <w:lang w:eastAsia="es-CO"/>
        </w:rPr>
        <w:t> apeló la sentencia proferida por la Sala Cuarta de Decisión del Tribunal Administrativo de Antioquia, con fundamento en lo siguiente: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Anotó que la falta de contestación de la demanda constituye un indicio grave, por lo que consideró extraño que el </w:t>
      </w:r>
      <w:r w:rsidRPr="00C6121C">
        <w:rPr>
          <w:rFonts w:ascii="Segoe UI" w:eastAsia="Times New Roman" w:hAnsi="Segoe UI" w:cs="Segoe UI"/>
          <w:i/>
          <w:iCs/>
          <w:color w:val="000000"/>
          <w:sz w:val="18"/>
          <w:szCs w:val="18"/>
          <w:lang w:eastAsia="es-CO"/>
        </w:rPr>
        <w:t>a-quo </w:t>
      </w:r>
      <w:r w:rsidRPr="00C6121C">
        <w:rPr>
          <w:rFonts w:ascii="Segoe UI" w:eastAsia="Times New Roman" w:hAnsi="Segoe UI" w:cs="Segoe UI"/>
          <w:color w:val="000000"/>
          <w:sz w:val="18"/>
          <w:szCs w:val="18"/>
          <w:lang w:eastAsia="es-CO"/>
        </w:rPr>
        <w:t>decretara de oficio la excepción de falta de agotamiento de la vía gubernativa que, a su juicio es improcedente, pues la demanda, al confrontar las pruebas del proceso con la normativa aplicable, desarrolló los cargos de la actuación administrativa.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Transcribió las argumentaciones de la demanda, en relación con: i) la falta de valoración de las pruebas de costos, deducciones y pasivos y aplicación del costo presunto; ii) el indebido rechazo de retenciones en la fuente y, iii) la improcedencia de la sanción por inexactitud.</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ALEGATOS DE CONCLUSIÓN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w:t>
      </w:r>
      <w:r w:rsidRPr="00C6121C">
        <w:rPr>
          <w:rFonts w:ascii="Segoe UI" w:eastAsia="Times New Roman" w:hAnsi="Segoe UI" w:cs="Segoe UI"/>
          <w:b/>
          <w:bCs/>
          <w:color w:val="000000"/>
          <w:sz w:val="18"/>
          <w:szCs w:val="18"/>
          <w:lang w:eastAsia="es-CO"/>
        </w:rPr>
        <w:t>sociedad demandante </w:t>
      </w:r>
      <w:r w:rsidRPr="00C6121C">
        <w:rPr>
          <w:rFonts w:ascii="Segoe UI" w:eastAsia="Times New Roman" w:hAnsi="Segoe UI" w:cs="Segoe UI"/>
          <w:color w:val="000000"/>
          <w:sz w:val="18"/>
          <w:szCs w:val="18"/>
          <w:lang w:eastAsia="es-CO"/>
        </w:rPr>
        <w:t>no presentó alegatos de conclusión.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w:t>
      </w:r>
      <w:r w:rsidRPr="00C6121C">
        <w:rPr>
          <w:rFonts w:ascii="Segoe UI" w:eastAsia="Times New Roman" w:hAnsi="Segoe UI" w:cs="Segoe UI"/>
          <w:b/>
          <w:bCs/>
          <w:color w:val="000000"/>
          <w:sz w:val="18"/>
          <w:szCs w:val="18"/>
          <w:lang w:eastAsia="es-CO"/>
        </w:rPr>
        <w:t>DIAN </w:t>
      </w:r>
      <w:r w:rsidRPr="00C6121C">
        <w:rPr>
          <w:rFonts w:ascii="Segoe UI" w:eastAsia="Times New Roman" w:hAnsi="Segoe UI" w:cs="Segoe UI"/>
          <w:color w:val="000000"/>
          <w:sz w:val="18"/>
          <w:szCs w:val="18"/>
          <w:lang w:eastAsia="es-CO"/>
        </w:rPr>
        <w:t>manifestó que: i) En materia contenciosa la falta de contestación de la demanda no constituye indicio en contra, y el juez está facultado para definir de oficio las excepciones que encuentre probadas; ii) a pesar de que el actor debía llevar libros de contabilidad, no se pudo obtener la información contable requerida y; iii) procede la sanción por inexactitud, porque la falta de demostración de los costos implica la adición de ingresos y un mayor impuesto a pagar.</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w:t>
      </w:r>
      <w:r w:rsidRPr="00C6121C">
        <w:rPr>
          <w:rFonts w:ascii="Segoe UI" w:eastAsia="Times New Roman" w:hAnsi="Segoe UI" w:cs="Segoe UI"/>
          <w:b/>
          <w:bCs/>
          <w:color w:val="000000"/>
          <w:sz w:val="18"/>
          <w:szCs w:val="18"/>
          <w:lang w:eastAsia="es-CO"/>
        </w:rPr>
        <w:t>Ministerio Público</w:t>
      </w:r>
      <w:r w:rsidRPr="00C6121C">
        <w:rPr>
          <w:rFonts w:ascii="Segoe UI" w:eastAsia="Times New Roman" w:hAnsi="Segoe UI" w:cs="Segoe UI"/>
          <w:color w:val="000000"/>
          <w:sz w:val="18"/>
          <w:szCs w:val="18"/>
          <w:lang w:eastAsia="es-CO"/>
        </w:rPr>
        <w:t> no se pronunció en esta etapa procesal.</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CONSIDERACIONES DE LA SALA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Corresponde a la Sala decidir sobre la legalidad de los actos administrativos que modificaron la declaración del impuesto sobre la renta y complementarios presentada por el contribuyente Julio Efrén Gómez Romero por el año gravable 2001.</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los términos del recurso de apelación, la Sala debe pronunciarse sobre: i) los efectos de la no contestación de la demanda y la «</w:t>
      </w:r>
      <w:r w:rsidRPr="00C6121C">
        <w:rPr>
          <w:rFonts w:ascii="Segoe UI" w:eastAsia="Times New Roman" w:hAnsi="Segoe UI" w:cs="Segoe UI"/>
          <w:i/>
          <w:iCs/>
          <w:color w:val="000000"/>
          <w:sz w:val="18"/>
          <w:szCs w:val="18"/>
          <w:lang w:eastAsia="es-CO"/>
        </w:rPr>
        <w:t>falta de agotamiento de la vía gubernativa</w:t>
      </w:r>
      <w:r w:rsidRPr="00C6121C">
        <w:rPr>
          <w:rFonts w:ascii="Segoe UI" w:eastAsia="Times New Roman" w:hAnsi="Segoe UI" w:cs="Segoe UI"/>
          <w:color w:val="000000"/>
          <w:sz w:val="18"/>
          <w:szCs w:val="18"/>
          <w:lang w:eastAsia="es-CO"/>
        </w:rPr>
        <w:t>»; ii) la oportunidad y demostración de los conceptos cuestionados en los actos administrativos demandados (costos, deducciones, pasivos y retenciones); iii) la aplicación de costos presuntos y, iv) la sanción por inexactitud.</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Asunto previo - No contestación de la demanda - Agotamiento de la vía gubernativa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demandante argumentó que la falta de contestación de la demanda constituye un indicio grave, que no fue apreciado por el </w:t>
      </w:r>
      <w:r w:rsidRPr="00C6121C">
        <w:rPr>
          <w:rFonts w:ascii="Segoe UI" w:eastAsia="Times New Roman" w:hAnsi="Segoe UI" w:cs="Segoe UI"/>
          <w:i/>
          <w:iCs/>
          <w:color w:val="000000"/>
          <w:sz w:val="18"/>
          <w:szCs w:val="18"/>
          <w:lang w:eastAsia="es-CO"/>
        </w:rPr>
        <w:t>a-quo </w:t>
      </w:r>
      <w:r w:rsidRPr="00C6121C">
        <w:rPr>
          <w:rFonts w:ascii="Segoe UI" w:eastAsia="Times New Roman" w:hAnsi="Segoe UI" w:cs="Segoe UI"/>
          <w:color w:val="000000"/>
          <w:sz w:val="18"/>
          <w:szCs w:val="18"/>
          <w:lang w:eastAsia="es-CO"/>
        </w:rPr>
        <w:t>al decretar de oficio la excepción de falta de agotamiento de la vía gubernativa.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Sala reitera</w:t>
      </w:r>
      <w:bookmarkStart w:id="11" w:name="_ftnref1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[12]</w:t>
      </w:r>
      <w:r w:rsidRPr="00C6121C">
        <w:rPr>
          <w:rFonts w:ascii="Segoe UI" w:eastAsia="Times New Roman" w:hAnsi="Segoe UI" w:cs="Segoe UI"/>
          <w:color w:val="000000"/>
          <w:sz w:val="18"/>
          <w:szCs w:val="18"/>
          <w:lang w:eastAsia="es-CO"/>
        </w:rPr>
        <w:fldChar w:fldCharType="end"/>
      </w:r>
      <w:bookmarkEnd w:id="11"/>
      <w:r w:rsidRPr="00C6121C">
        <w:rPr>
          <w:rFonts w:ascii="Segoe UI" w:eastAsia="Times New Roman" w:hAnsi="Segoe UI" w:cs="Segoe UI"/>
          <w:color w:val="000000"/>
          <w:sz w:val="18"/>
          <w:szCs w:val="18"/>
          <w:lang w:eastAsia="es-CO"/>
        </w:rPr>
        <w:t> que </w:t>
      </w:r>
      <w:r w:rsidRPr="00C6121C">
        <w:rPr>
          <w:rFonts w:ascii="Segoe UI" w:eastAsia="Times New Roman" w:hAnsi="Segoe UI" w:cs="Segoe UI"/>
          <w:i/>
          <w:iCs/>
          <w:color w:val="000000"/>
          <w:sz w:val="18"/>
          <w:szCs w:val="18"/>
          <w:lang w:eastAsia="es-CO"/>
        </w:rPr>
        <w:t>«la falta de contestación de la demanda o de oposición a las pretensiones, puede ser apreciada por el juez, solo como indicio grave, no como allanamiento a las pretensiones», </w:t>
      </w:r>
      <w:r w:rsidRPr="00C6121C">
        <w:rPr>
          <w:rFonts w:ascii="Segoe UI" w:eastAsia="Times New Roman" w:hAnsi="Segoe UI" w:cs="Segoe UI"/>
          <w:color w:val="000000"/>
          <w:sz w:val="18"/>
          <w:szCs w:val="18"/>
          <w:lang w:eastAsia="es-CO"/>
        </w:rPr>
        <w:t>circunstancia que tampoco limita las facultades legales del juez para pronunciarse de oficio sobre los asuntos sometidos a su conocimiento.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ese sentido, el Tribunal declaró de oficio la excepción de falta de agotamiento de la vía gubernativa, en relación con los cargos de </w:t>
      </w:r>
      <w:r w:rsidRPr="00C6121C">
        <w:rPr>
          <w:rFonts w:ascii="Segoe UI" w:eastAsia="Times New Roman" w:hAnsi="Segoe UI" w:cs="Segoe UI"/>
          <w:i/>
          <w:iCs/>
          <w:color w:val="000000"/>
          <w:sz w:val="18"/>
          <w:szCs w:val="18"/>
          <w:lang w:eastAsia="es-CO"/>
        </w:rPr>
        <w:t>«indebido desconocimiento de costos y deducciones, por violación del </w:t>
      </w:r>
      <w:hyperlink r:id="rId23" w:tooltip="Estatuto Tributario CETA" w:history="1">
        <w:r w:rsidRPr="00C6121C">
          <w:rPr>
            <w:rFonts w:ascii="Segoe UI" w:eastAsia="Times New Roman" w:hAnsi="Segoe UI" w:cs="Segoe UI"/>
            <w:i/>
            <w:iCs/>
            <w:color w:val="0089E1"/>
            <w:sz w:val="18"/>
            <w:szCs w:val="18"/>
            <w:lang w:eastAsia="es-CO"/>
          </w:rPr>
          <w:t>artículo 82</w:t>
        </w:r>
      </w:hyperlink>
      <w:r w:rsidRPr="00C6121C">
        <w:rPr>
          <w:rFonts w:ascii="Segoe UI" w:eastAsia="Times New Roman" w:hAnsi="Segoe UI" w:cs="Segoe UI"/>
          <w:i/>
          <w:iCs/>
          <w:color w:val="000000"/>
          <w:sz w:val="18"/>
          <w:szCs w:val="18"/>
          <w:lang w:eastAsia="es-CO"/>
        </w:rPr>
        <w:t> del Estatuto Tributario, indebido rechazo de las retenciones en la fuente e indebida aplicación de la sanción por inexactitud».</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xml:space="preserve">Ahora bien, el artículo 161 del Código Contencioso Administrativo, vigente durante los hechos en discusión, establece que, para que se declare la nulidad de un acto particular que ponga fin a un proceso administrativo y </w:t>
      </w:r>
      <w:r w:rsidRPr="00C6121C">
        <w:rPr>
          <w:rFonts w:ascii="Segoe UI" w:eastAsia="Times New Roman" w:hAnsi="Segoe UI" w:cs="Segoe UI"/>
          <w:color w:val="000000"/>
          <w:sz w:val="18"/>
          <w:szCs w:val="18"/>
          <w:lang w:eastAsia="es-CO"/>
        </w:rPr>
        <w:lastRenderedPageBreak/>
        <w:t>se restablezca el derecho del actor, se </w:t>
      </w:r>
      <w:r w:rsidRPr="00C6121C">
        <w:rPr>
          <w:rFonts w:ascii="Segoe UI" w:eastAsia="Times New Roman" w:hAnsi="Segoe UI" w:cs="Segoe UI"/>
          <w:i/>
          <w:iCs/>
          <w:color w:val="000000"/>
          <w:sz w:val="18"/>
          <w:szCs w:val="18"/>
          <w:lang w:eastAsia="es-CO"/>
        </w:rPr>
        <w:t>«debe agotar previamente la vía gubernativa»</w:t>
      </w:r>
      <w:r w:rsidRPr="00C6121C">
        <w:rPr>
          <w:rFonts w:ascii="Segoe UI" w:eastAsia="Times New Roman" w:hAnsi="Segoe UI" w:cs="Segoe UI"/>
          <w:color w:val="000000"/>
          <w:sz w:val="18"/>
          <w:szCs w:val="18"/>
          <w:lang w:eastAsia="es-CO"/>
        </w:rPr>
        <w:t>, como requisito para acudir ante la jurisdicción.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Sección, en forma reiterada, ha dicho que</w:t>
      </w:r>
      <w:bookmarkStart w:id="12" w:name="_ftnref13"/>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"_ftn13"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[13]</w:t>
      </w:r>
      <w:r w:rsidRPr="00C6121C">
        <w:rPr>
          <w:rFonts w:ascii="Segoe UI" w:eastAsia="Times New Roman" w:hAnsi="Segoe UI" w:cs="Segoe UI"/>
          <w:color w:val="000000"/>
          <w:sz w:val="18"/>
          <w:szCs w:val="18"/>
          <w:lang w:eastAsia="es-CO"/>
        </w:rPr>
        <w:fldChar w:fldCharType="end"/>
      </w:r>
      <w:bookmarkEnd w:id="12"/>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«al contribuyente le es dable alegar "argumentos nuevos" en la etapa jurisdiccional, es decir, no planteados en la etapa gubernativa, si lo pretendido es la ‘nulidad' de los actos administrativos, en razón a que el examen de legalidad del acto acusado debe efectuarse respecto de los fundamentos de derecho expuestos en la demanda, que a su vez deben concretarse a las causales de nulidad previstas en el Estatuto Tributario y las generales a que se refiere el inciso 2º del artículo 84 del Código Contencioso Administrativo</w:t>
      </w:r>
      <w:bookmarkStart w:id="13" w:name="_ftnref14"/>
      <w:r w:rsidRPr="00C6121C">
        <w:rPr>
          <w:rFonts w:ascii="Segoe UI" w:eastAsia="Times New Roman" w:hAnsi="Segoe UI" w:cs="Segoe UI"/>
          <w:i/>
          <w:iCs/>
          <w:color w:val="000000"/>
          <w:sz w:val="18"/>
          <w:szCs w:val="18"/>
          <w:lang w:eastAsia="es-CO"/>
        </w:rPr>
        <w:fldChar w:fldCharType="begin"/>
      </w:r>
      <w:r w:rsidRPr="00C6121C">
        <w:rPr>
          <w:rFonts w:ascii="Segoe UI" w:eastAsia="Times New Roman" w:hAnsi="Segoe UI" w:cs="Segoe UI"/>
          <w:i/>
          <w:iCs/>
          <w:color w:val="000000"/>
          <w:sz w:val="18"/>
          <w:szCs w:val="18"/>
          <w:lang w:eastAsia="es-CO"/>
        </w:rPr>
        <w:instrText xml:space="preserve"> HYPERLINK "https://www.ceta.org.co/html/vista_de_un_documento.asp?DocumentoID=36133" \l "_ftn14" \o "" </w:instrText>
      </w:r>
      <w:r w:rsidRPr="00C6121C">
        <w:rPr>
          <w:rFonts w:ascii="Segoe UI" w:eastAsia="Times New Roman" w:hAnsi="Segoe UI" w:cs="Segoe UI"/>
          <w:i/>
          <w:iCs/>
          <w:color w:val="000000"/>
          <w:sz w:val="18"/>
          <w:szCs w:val="18"/>
          <w:lang w:eastAsia="es-CO"/>
        </w:rPr>
        <w:fldChar w:fldCharType="separate"/>
      </w:r>
      <w:r w:rsidRPr="00C6121C">
        <w:rPr>
          <w:rFonts w:ascii="Segoe UI" w:eastAsia="Times New Roman" w:hAnsi="Segoe UI" w:cs="Segoe UI"/>
          <w:b/>
          <w:bCs/>
          <w:i/>
          <w:iCs/>
          <w:color w:val="0089E1"/>
          <w:sz w:val="22"/>
          <w:lang w:eastAsia="es-CO"/>
        </w:rPr>
        <w:t>[14]</w:t>
      </w:r>
      <w:r w:rsidRPr="00C6121C">
        <w:rPr>
          <w:rFonts w:ascii="Segoe UI" w:eastAsia="Times New Roman" w:hAnsi="Segoe UI" w:cs="Segoe UI"/>
          <w:i/>
          <w:iCs/>
          <w:color w:val="000000"/>
          <w:sz w:val="18"/>
          <w:szCs w:val="18"/>
          <w:lang w:eastAsia="es-CO"/>
        </w:rPr>
        <w:fldChar w:fldCharType="end"/>
      </w:r>
      <w:bookmarkEnd w:id="13"/>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Y precisó que ante la Jurisdicción no pueden plantearse hechos nuevos, diferentes a los invocados en sede administrativa, aunque sí nuevos o mejores argumentos respecto de los planteados en los recursos interpuestos en la vía gubernativa</w:t>
      </w:r>
      <w:bookmarkStart w:id="14" w:name="_ftnref15"/>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"_ftn15"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[15]</w:t>
      </w:r>
      <w:r w:rsidRPr="00C6121C">
        <w:rPr>
          <w:rFonts w:ascii="Segoe UI" w:eastAsia="Times New Roman" w:hAnsi="Segoe UI" w:cs="Segoe UI"/>
          <w:color w:val="000000"/>
          <w:sz w:val="18"/>
          <w:szCs w:val="18"/>
          <w:lang w:eastAsia="es-CO"/>
        </w:rPr>
        <w:fldChar w:fldCharType="end"/>
      </w:r>
      <w:bookmarkEnd w:id="14"/>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Así pues, el administrado debe aducir en sede administrativa los motivos y fundamentos de su reclamación, lo que no obsta para que en sede judicial exponga nuevos o mejores argumentos, a fin de obtener la satisfacción de su pretensión, previamente planteada en la actuación administrativa</w:t>
      </w:r>
      <w:bookmarkStart w:id="15" w:name="_ftnref16"/>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"_ftn16"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[16]</w:t>
      </w:r>
      <w:r w:rsidRPr="00C6121C">
        <w:rPr>
          <w:rFonts w:ascii="Segoe UI" w:eastAsia="Times New Roman" w:hAnsi="Segoe UI" w:cs="Segoe UI"/>
          <w:color w:val="000000"/>
          <w:sz w:val="18"/>
          <w:szCs w:val="18"/>
          <w:lang w:eastAsia="es-CO"/>
        </w:rPr>
        <w:fldChar w:fldCharType="end"/>
      </w:r>
      <w:bookmarkEnd w:id="15"/>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Por tanto, si la pretensión de la parte demandante es la misma, esto es, la nulidad del acto definitivo, como ocurre en el presente caso, en el que en sede administrativa y jurisdiccional se invocó la ilegalidad de los actos que modificaron la declaración de renta de gravable 2001, el Juez debe analizar los cargos de la demanda así no hayan sido expuestos con ocasión del recurso de reconsideración.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el caso concreto, si bien los cargos sobre los cuales se decretó de oficio la excepción de falta de agotamiento de </w:t>
      </w:r>
      <w:r w:rsidRPr="00C6121C">
        <w:rPr>
          <w:rFonts w:ascii="Segoe UI" w:eastAsia="Times New Roman" w:hAnsi="Segoe UI" w:cs="Segoe UI"/>
          <w:i/>
          <w:iCs/>
          <w:color w:val="000000"/>
          <w:sz w:val="18"/>
          <w:szCs w:val="18"/>
          <w:lang w:eastAsia="es-CO"/>
        </w:rPr>
        <w:t>«la vía gubernativa»</w:t>
      </w:r>
      <w:r w:rsidRPr="00C6121C">
        <w:rPr>
          <w:rFonts w:ascii="Segoe UI" w:eastAsia="Times New Roman" w:hAnsi="Segoe UI" w:cs="Segoe UI"/>
          <w:color w:val="000000"/>
          <w:sz w:val="18"/>
          <w:szCs w:val="18"/>
          <w:lang w:eastAsia="es-CO"/>
        </w:rPr>
        <w:t> no fueron propuestos en el recurso de reconsideración, no lo es menos que constituyen argumentos encaminados a reforzar la pretensión de nulidad de los actos administrativos demandados, y se refieren a las causales de nulidad previstas en el artículo 85 del Código Contencioso Administrativo, con lo cual, no se modifican los hechos sometidos a discusión en la actuación administrativa.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consecuencia, se revocará el numeral primero de la sentencia apelada, que declaró probada de oficio la excepción de falta de agotamiento de la vía gubernativa.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Oportunidad para incorporar pruebas al expediente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actor argumentó que la DIAN no valoró las pruebas de los conceptos cuestionados, y que si bien el </w:t>
      </w:r>
      <w:hyperlink r:id="rId24"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establece que la no presentación de libros de contabilidad constituye un indicio en contra del contribuyente, tal situación no implica la desestimación de los costos, deducciones y pasivos declarados pues, a su juicio, se puede determinar el costo presunto establecido en el artículo 82 </w:t>
      </w:r>
      <w:proofErr w:type="spellStart"/>
      <w:r w:rsidRPr="00C6121C">
        <w:rPr>
          <w:rFonts w:ascii="Segoe UI" w:eastAsia="Times New Roman" w:hAnsi="Segoe UI" w:cs="Segoe UI"/>
          <w:i/>
          <w:iCs/>
          <w:color w:val="000000"/>
          <w:sz w:val="18"/>
          <w:szCs w:val="18"/>
          <w:lang w:eastAsia="es-CO"/>
        </w:rPr>
        <w:t>ejusdem</w:t>
      </w:r>
      <w:proofErr w:type="spellEnd"/>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w:t>
      </w:r>
      <w:hyperlink r:id="rId25" w:tooltip="Estatuto Tributario CETA" w:history="1">
        <w:r w:rsidRPr="00C6121C">
          <w:rPr>
            <w:rFonts w:ascii="Segoe UI" w:eastAsia="Times New Roman" w:hAnsi="Segoe UI" w:cs="Segoe UI"/>
            <w:color w:val="0089E1"/>
            <w:sz w:val="18"/>
            <w:szCs w:val="18"/>
            <w:lang w:eastAsia="es-CO"/>
          </w:rPr>
          <w:t>artículo 746</w:t>
        </w:r>
      </w:hyperlink>
      <w:r w:rsidRPr="00C6121C">
        <w:rPr>
          <w:rFonts w:ascii="Segoe UI" w:eastAsia="Times New Roman" w:hAnsi="Segoe UI" w:cs="Segoe UI"/>
          <w:color w:val="000000"/>
          <w:sz w:val="18"/>
          <w:szCs w:val="18"/>
          <w:lang w:eastAsia="es-CO"/>
        </w:rPr>
        <w:t> del Estatuto Tributario prevé que </w:t>
      </w:r>
      <w:r w:rsidRPr="00C6121C">
        <w:rPr>
          <w:rFonts w:ascii="Segoe UI" w:eastAsia="Times New Roman" w:hAnsi="Segoe UI" w:cs="Segoe UI"/>
          <w:i/>
          <w:iCs/>
          <w:color w:val="000000"/>
          <w:sz w:val="18"/>
          <w:szCs w:val="18"/>
          <w:lang w:eastAsia="es-CO"/>
        </w:rPr>
        <w:t>«Se consideran ciertos los hechos consignados en las declaraciones tributarias, en las correcciones a las mismas o en las respuestas a requerimientos administrativos, siempre y cuando que sobre tales hechos, no se haya solicitado una comprobación especial, ni la ley la exija».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presunción de veracidad admite prueba en contrario y la autoridad fiscal, para asegurar el </w:t>
      </w:r>
      <w:r w:rsidRPr="00C6121C">
        <w:rPr>
          <w:rFonts w:ascii="Segoe UI" w:eastAsia="Times New Roman" w:hAnsi="Segoe UI" w:cs="Segoe UI"/>
          <w:i/>
          <w:iCs/>
          <w:color w:val="000000"/>
          <w:sz w:val="18"/>
          <w:szCs w:val="18"/>
          <w:lang w:eastAsia="es-CO"/>
        </w:rPr>
        <w:t>«efectivo cumplimiento de las normas sustanciales», </w:t>
      </w:r>
      <w:r w:rsidRPr="00C6121C">
        <w:rPr>
          <w:rFonts w:ascii="Segoe UI" w:eastAsia="Times New Roman" w:hAnsi="Segoe UI" w:cs="Segoe UI"/>
          <w:color w:val="000000"/>
          <w:sz w:val="18"/>
          <w:szCs w:val="18"/>
          <w:lang w:eastAsia="es-CO"/>
        </w:rPr>
        <w:t>puede desvirtuarla mediante el ejercicio de las facultades de fiscalización e investigación previstas en el </w:t>
      </w:r>
      <w:hyperlink r:id="rId26" w:tooltip="Estatuto Tributario CETA" w:history="1">
        <w:r w:rsidRPr="00C6121C">
          <w:rPr>
            <w:rFonts w:ascii="Segoe UI" w:eastAsia="Times New Roman" w:hAnsi="Segoe UI" w:cs="Segoe UI"/>
            <w:color w:val="0089E1"/>
            <w:sz w:val="18"/>
            <w:szCs w:val="18"/>
            <w:lang w:eastAsia="es-CO"/>
          </w:rPr>
          <w:t>artículo 684</w:t>
        </w:r>
      </w:hyperlink>
      <w:r w:rsidRPr="00C6121C">
        <w:rPr>
          <w:rFonts w:ascii="Segoe UI" w:eastAsia="Times New Roman" w:hAnsi="Segoe UI" w:cs="Segoe UI"/>
          <w:color w:val="000000"/>
          <w:sz w:val="18"/>
          <w:szCs w:val="18"/>
          <w:lang w:eastAsia="es-CO"/>
        </w:rPr>
        <w:t> del Estatuto Tributario</w:t>
      </w:r>
      <w:bookmarkStart w:id="16" w:name="_ftnref17"/>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"_ftn17"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[17]</w:t>
      </w:r>
      <w:r w:rsidRPr="00C6121C">
        <w:rPr>
          <w:rFonts w:ascii="Segoe UI" w:eastAsia="Times New Roman" w:hAnsi="Segoe UI" w:cs="Segoe UI"/>
          <w:color w:val="000000"/>
          <w:sz w:val="18"/>
          <w:szCs w:val="18"/>
          <w:lang w:eastAsia="es-CO"/>
        </w:rPr>
        <w:fldChar w:fldCharType="end"/>
      </w:r>
      <w:bookmarkEnd w:id="16"/>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Así pues, la carga probatoria de desvirtuar la veracidad de las declaraciones tributarias y de las respuestas a los requerimientos corresponde en principio a la autoridad tributaria, y se traslada al contribuyente frente a una comprobación especial o una exigencia legal</w:t>
      </w:r>
      <w:bookmarkStart w:id="17" w:name="_ftnref18"/>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"_ftn18"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[18]</w:t>
      </w:r>
      <w:r w:rsidRPr="00C6121C">
        <w:rPr>
          <w:rFonts w:ascii="Segoe UI" w:eastAsia="Times New Roman" w:hAnsi="Segoe UI" w:cs="Segoe UI"/>
          <w:color w:val="000000"/>
          <w:sz w:val="18"/>
          <w:szCs w:val="18"/>
          <w:lang w:eastAsia="es-CO"/>
        </w:rPr>
        <w:fldChar w:fldCharType="end"/>
      </w:r>
      <w:bookmarkEnd w:id="17"/>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w:t>
      </w:r>
      <w:hyperlink r:id="rId27" w:tooltip="Estatuto Tributario CETA" w:history="1">
        <w:r w:rsidRPr="00C6121C">
          <w:rPr>
            <w:rFonts w:ascii="Segoe UI" w:eastAsia="Times New Roman" w:hAnsi="Segoe UI" w:cs="Segoe UI"/>
            <w:color w:val="0089E1"/>
            <w:sz w:val="18"/>
            <w:szCs w:val="18"/>
            <w:lang w:eastAsia="es-CO"/>
          </w:rPr>
          <w:t>artículo 742</w:t>
        </w:r>
      </w:hyperlink>
      <w:r w:rsidRPr="00C6121C">
        <w:rPr>
          <w:rFonts w:ascii="Segoe UI" w:eastAsia="Times New Roman" w:hAnsi="Segoe UI" w:cs="Segoe UI"/>
          <w:color w:val="000000"/>
          <w:sz w:val="18"/>
          <w:szCs w:val="18"/>
          <w:lang w:eastAsia="es-CO"/>
        </w:rPr>
        <w:t> del Estatuto Tributario prevé que la determinación de tributos se debe fundar en los hechos que aparezcan probados en el expediente, y son admisibles los medios de prueba legalmente aceptados por la legislación fiscal y por la legislación civil</w:t>
      </w:r>
      <w:bookmarkStart w:id="18" w:name="_ftnref19"/>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"_ftn19"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[19]</w:t>
      </w:r>
      <w:r w:rsidRPr="00C6121C">
        <w:rPr>
          <w:rFonts w:ascii="Segoe UI" w:eastAsia="Times New Roman" w:hAnsi="Segoe UI" w:cs="Segoe UI"/>
          <w:color w:val="000000"/>
          <w:sz w:val="18"/>
          <w:szCs w:val="18"/>
          <w:lang w:eastAsia="es-CO"/>
        </w:rPr>
        <w:fldChar w:fldCharType="end"/>
      </w:r>
      <w:bookmarkEnd w:id="18"/>
      <w:r w:rsidRPr="00C6121C">
        <w:rPr>
          <w:rFonts w:ascii="Segoe UI" w:eastAsia="Times New Roman" w:hAnsi="Segoe UI" w:cs="Segoe UI"/>
          <w:color w:val="000000"/>
          <w:sz w:val="18"/>
          <w:szCs w:val="18"/>
          <w:lang w:eastAsia="es-CO"/>
        </w:rPr>
        <w:t>; no obstante, el </w:t>
      </w:r>
      <w:hyperlink r:id="rId28" w:tooltip="Estatuto Tributario CETA" w:history="1">
        <w:r w:rsidRPr="00C6121C">
          <w:rPr>
            <w:rFonts w:ascii="Segoe UI" w:eastAsia="Times New Roman" w:hAnsi="Segoe UI" w:cs="Segoe UI"/>
            <w:color w:val="0089E1"/>
            <w:sz w:val="18"/>
            <w:szCs w:val="18"/>
            <w:lang w:eastAsia="es-CO"/>
          </w:rPr>
          <w:t>artículo 743</w:t>
        </w:r>
      </w:hyperlink>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ibídem</w:t>
      </w:r>
      <w:r w:rsidRPr="00C6121C">
        <w:rPr>
          <w:rFonts w:ascii="Segoe UI" w:eastAsia="Times New Roman" w:hAnsi="Segoe UI" w:cs="Segoe UI"/>
          <w:color w:val="000000"/>
          <w:sz w:val="18"/>
          <w:szCs w:val="18"/>
          <w:lang w:eastAsia="es-CO"/>
        </w:rPr>
        <w:t> señala que la idoneidad</w:t>
      </w:r>
      <w:bookmarkStart w:id="19" w:name="_ftnref20"/>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"_ftn20"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[20]</w:t>
      </w:r>
      <w:r w:rsidRPr="00C6121C">
        <w:rPr>
          <w:rFonts w:ascii="Segoe UI" w:eastAsia="Times New Roman" w:hAnsi="Segoe UI" w:cs="Segoe UI"/>
          <w:color w:val="000000"/>
          <w:sz w:val="18"/>
          <w:szCs w:val="18"/>
          <w:lang w:eastAsia="es-CO"/>
        </w:rPr>
        <w:fldChar w:fldCharType="end"/>
      </w:r>
      <w:bookmarkEnd w:id="19"/>
      <w:r w:rsidRPr="00C6121C">
        <w:rPr>
          <w:rFonts w:ascii="Segoe UI" w:eastAsia="Times New Roman" w:hAnsi="Segoe UI" w:cs="Segoe UI"/>
          <w:color w:val="000000"/>
          <w:sz w:val="18"/>
          <w:szCs w:val="18"/>
          <w:lang w:eastAsia="es-CO"/>
        </w:rPr>
        <w:t> de los mismos depende de las exigencias legales para demostrar determinados hechos.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ese sentido, el </w:t>
      </w:r>
      <w:hyperlink r:id="rId29" w:tooltip="Estatuto Tributario CETA" w:history="1">
        <w:r w:rsidRPr="00C6121C">
          <w:rPr>
            <w:rFonts w:ascii="Segoe UI" w:eastAsia="Times New Roman" w:hAnsi="Segoe UI" w:cs="Segoe UI"/>
            <w:color w:val="0089E1"/>
            <w:sz w:val="18"/>
            <w:szCs w:val="18"/>
            <w:lang w:eastAsia="es-CO"/>
          </w:rPr>
          <w:t>artículo 772</w:t>
        </w:r>
      </w:hyperlink>
      <w:r w:rsidRPr="00C6121C">
        <w:rPr>
          <w:rFonts w:ascii="Segoe UI" w:eastAsia="Times New Roman" w:hAnsi="Segoe UI" w:cs="Segoe UI"/>
          <w:color w:val="000000"/>
          <w:sz w:val="18"/>
          <w:szCs w:val="18"/>
          <w:lang w:eastAsia="es-CO"/>
        </w:rPr>
        <w:t> del Estatuto Tributario</w:t>
      </w:r>
      <w:bookmarkStart w:id="20" w:name="_ftnref2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[21]</w:t>
      </w:r>
      <w:r w:rsidRPr="00C6121C">
        <w:rPr>
          <w:rFonts w:ascii="Segoe UI" w:eastAsia="Times New Roman" w:hAnsi="Segoe UI" w:cs="Segoe UI"/>
          <w:color w:val="000000"/>
          <w:sz w:val="18"/>
          <w:szCs w:val="18"/>
          <w:lang w:eastAsia="es-CO"/>
        </w:rPr>
        <w:fldChar w:fldCharType="end"/>
      </w:r>
      <w:bookmarkEnd w:id="20"/>
      <w:r w:rsidRPr="00C6121C">
        <w:rPr>
          <w:rFonts w:ascii="Segoe UI" w:eastAsia="Times New Roman" w:hAnsi="Segoe UI" w:cs="Segoe UI"/>
          <w:color w:val="000000"/>
          <w:sz w:val="18"/>
          <w:szCs w:val="18"/>
          <w:lang w:eastAsia="es-CO"/>
        </w:rPr>
        <w:t>, establece que la contabilidad constituye un medio de prueba admisible en materia fiscal, y los artículos </w:t>
      </w:r>
      <w:hyperlink r:id="rId30" w:tooltip="Estatuto Tributario CETA" w:history="1">
        <w:r w:rsidRPr="00C6121C">
          <w:rPr>
            <w:rFonts w:ascii="Segoe UI" w:eastAsia="Times New Roman" w:hAnsi="Segoe UI" w:cs="Segoe UI"/>
            <w:color w:val="0089E1"/>
            <w:sz w:val="18"/>
            <w:szCs w:val="18"/>
            <w:lang w:eastAsia="es-CO"/>
          </w:rPr>
          <w:t>773</w:t>
        </w:r>
      </w:hyperlink>
      <w:r w:rsidRPr="00C6121C">
        <w:rPr>
          <w:rFonts w:ascii="Segoe UI" w:eastAsia="Times New Roman" w:hAnsi="Segoe UI" w:cs="Segoe UI"/>
          <w:color w:val="000000"/>
          <w:sz w:val="18"/>
          <w:szCs w:val="18"/>
          <w:lang w:eastAsia="es-CO"/>
        </w:rPr>
        <w:t> </w:t>
      </w:r>
      <w:bookmarkStart w:id="21" w:name="_ftnref2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[22]</w:t>
      </w:r>
      <w:r w:rsidRPr="00C6121C">
        <w:rPr>
          <w:rFonts w:ascii="Segoe UI" w:eastAsia="Times New Roman" w:hAnsi="Segoe UI" w:cs="Segoe UI"/>
          <w:color w:val="000000"/>
          <w:sz w:val="18"/>
          <w:szCs w:val="18"/>
          <w:lang w:eastAsia="es-CO"/>
        </w:rPr>
        <w:fldChar w:fldCharType="end"/>
      </w:r>
      <w:bookmarkEnd w:id="21"/>
      <w:r w:rsidRPr="00C6121C">
        <w:rPr>
          <w:rFonts w:ascii="Segoe UI" w:eastAsia="Times New Roman" w:hAnsi="Segoe UI" w:cs="Segoe UI"/>
          <w:color w:val="000000"/>
          <w:sz w:val="18"/>
          <w:szCs w:val="18"/>
          <w:lang w:eastAsia="es-CO"/>
        </w:rPr>
        <w:t> y </w:t>
      </w:r>
      <w:hyperlink r:id="rId31" w:tooltip="Estatuto Tributario CETA" w:history="1">
        <w:r w:rsidRPr="00C6121C">
          <w:rPr>
            <w:rFonts w:ascii="Segoe UI" w:eastAsia="Times New Roman" w:hAnsi="Segoe UI" w:cs="Segoe UI"/>
            <w:color w:val="0089E1"/>
            <w:sz w:val="18"/>
            <w:szCs w:val="18"/>
            <w:lang w:eastAsia="es-CO"/>
          </w:rPr>
          <w:t>774</w:t>
        </w:r>
      </w:hyperlink>
      <w:bookmarkStart w:id="22" w:name="_ftnref23"/>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"_ftn23"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[23]</w:t>
      </w:r>
      <w:r w:rsidRPr="00C6121C">
        <w:rPr>
          <w:rFonts w:ascii="Segoe UI" w:eastAsia="Times New Roman" w:hAnsi="Segoe UI" w:cs="Segoe UI"/>
          <w:color w:val="000000"/>
          <w:sz w:val="18"/>
          <w:szCs w:val="18"/>
          <w:lang w:eastAsia="es-CO"/>
        </w:rPr>
        <w:fldChar w:fldCharType="end"/>
      </w:r>
      <w:bookmarkEnd w:id="22"/>
      <w:r w:rsidRPr="00C6121C">
        <w:rPr>
          <w:rFonts w:ascii="Segoe UI" w:eastAsia="Times New Roman" w:hAnsi="Segoe UI" w:cs="Segoe UI"/>
          <w:color w:val="000000"/>
          <w:sz w:val="18"/>
          <w:szCs w:val="18"/>
          <w:lang w:eastAsia="es-CO"/>
        </w:rPr>
        <w:t> </w:t>
      </w:r>
      <w:proofErr w:type="spellStart"/>
      <w:r w:rsidRPr="00C6121C">
        <w:rPr>
          <w:rFonts w:ascii="Segoe UI" w:eastAsia="Times New Roman" w:hAnsi="Segoe UI" w:cs="Segoe UI"/>
          <w:i/>
          <w:iCs/>
          <w:color w:val="000000"/>
          <w:sz w:val="18"/>
          <w:szCs w:val="18"/>
          <w:lang w:eastAsia="es-CO"/>
        </w:rPr>
        <w:t>ejusdem</w:t>
      </w:r>
      <w:proofErr w:type="spellEnd"/>
      <w:r w:rsidRPr="00C6121C">
        <w:rPr>
          <w:rFonts w:ascii="Segoe UI" w:eastAsia="Times New Roman" w:hAnsi="Segoe UI" w:cs="Segoe UI"/>
          <w:color w:val="000000"/>
          <w:sz w:val="18"/>
          <w:szCs w:val="18"/>
          <w:lang w:eastAsia="es-CO"/>
        </w:rPr>
        <w:t> señalan la forma y requisitos para llevarla y para que constituya prueba suficiente.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Por su parte, el </w:t>
      </w:r>
      <w:hyperlink r:id="rId32"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prevé que la contabilidad se debe presentar en las oportunidades en que la autoridad fiscal la exija</w:t>
      </w:r>
      <w:bookmarkStart w:id="23" w:name="_ftnref24"/>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"_ftn24"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[24]</w:t>
      </w:r>
      <w:r w:rsidRPr="00C6121C">
        <w:rPr>
          <w:rFonts w:ascii="Segoe UI" w:eastAsia="Times New Roman" w:hAnsi="Segoe UI" w:cs="Segoe UI"/>
          <w:color w:val="000000"/>
          <w:sz w:val="18"/>
          <w:szCs w:val="18"/>
          <w:lang w:eastAsia="es-CO"/>
        </w:rPr>
        <w:fldChar w:fldCharType="end"/>
      </w:r>
      <w:bookmarkEnd w:id="23"/>
      <w:r w:rsidRPr="00C6121C">
        <w:rPr>
          <w:rFonts w:ascii="Segoe UI" w:eastAsia="Times New Roman" w:hAnsi="Segoe UI" w:cs="Segoe UI"/>
          <w:color w:val="000000"/>
          <w:sz w:val="18"/>
          <w:szCs w:val="18"/>
          <w:lang w:eastAsia="es-CO"/>
        </w:rPr>
        <w:t>, y que el contribuyente que no exhiba sus libros, comprobantes y demás documentos contables, no podrá invocarlos posteriormente como prueba a su favor, y tal hecho se tendrá como indicio en contra.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No obstante, el mismo artículo no impide que el contribuyente presente los documentos que demuestran los costos, deducciones, descuentos y pasivos con posterioridad al momento en que le fueron exigidos, ni exime a la autoridad fiscal de valorarlos para establecer su procedencia, pues prevé la posibilidad de que el interesado </w:t>
      </w:r>
      <w:r w:rsidRPr="00C6121C">
        <w:rPr>
          <w:rFonts w:ascii="Segoe UI" w:eastAsia="Times New Roman" w:hAnsi="Segoe UI" w:cs="Segoe UI"/>
          <w:i/>
          <w:iCs/>
          <w:color w:val="000000"/>
          <w:sz w:val="18"/>
          <w:szCs w:val="18"/>
          <w:lang w:eastAsia="es-CO"/>
        </w:rPr>
        <w:t>«los acredite plenamente».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Lo anterior fue puesto de presente por la Sala, al señalar que</w:t>
      </w:r>
      <w:bookmarkStart w:id="24" w:name="_ftnref25"/>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"_ftn25"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[25]</w:t>
      </w:r>
      <w:r w:rsidRPr="00C6121C">
        <w:rPr>
          <w:rFonts w:ascii="Segoe UI" w:eastAsia="Times New Roman" w:hAnsi="Segoe UI" w:cs="Segoe UI"/>
          <w:color w:val="000000"/>
          <w:sz w:val="18"/>
          <w:szCs w:val="18"/>
          <w:lang w:eastAsia="es-CO"/>
        </w:rPr>
        <w:fldChar w:fldCharType="end"/>
      </w:r>
      <w:bookmarkEnd w:id="24"/>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«Ante la carencia de la prueba, es razonable que el </w:t>
      </w:r>
      <w:hyperlink r:id="rId33" w:tooltip="Estatuto Tributario CETA" w:history="1">
        <w:r w:rsidRPr="00C6121C">
          <w:rPr>
            <w:rFonts w:ascii="Segoe UI" w:eastAsia="Times New Roman" w:hAnsi="Segoe UI" w:cs="Segoe UI"/>
            <w:i/>
            <w:iCs/>
            <w:color w:val="0089E1"/>
            <w:sz w:val="18"/>
            <w:szCs w:val="18"/>
            <w:lang w:eastAsia="es-CO"/>
          </w:rPr>
          <w:t>artículo 781</w:t>
        </w:r>
      </w:hyperlink>
      <w:r w:rsidRPr="00C6121C">
        <w:rPr>
          <w:rFonts w:ascii="Segoe UI" w:eastAsia="Times New Roman" w:hAnsi="Segoe UI" w:cs="Segoe UI"/>
          <w:i/>
          <w:iCs/>
          <w:color w:val="000000"/>
          <w:sz w:val="18"/>
          <w:szCs w:val="18"/>
          <w:lang w:eastAsia="es-CO"/>
        </w:rPr>
        <w:t> citado disponga que cuando el contribuyente allegue posteriormente esa prueba y la alegue "a su favor", deba valorarse, pero sin olvidar que existe un indicio en contra. En estricto sentido, la norma no restringe que la prueba se presente con posterioridad. Tan es así que la norma permite que el contribuyente pueda acreditar "plenamente" los correspondientes costos, deducciones, descuentos y pasivos».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ese contexto, el </w:t>
      </w:r>
      <w:hyperlink r:id="rId34" w:tooltip="Estatuto Tributario CETA" w:history="1">
        <w:r w:rsidRPr="00C6121C">
          <w:rPr>
            <w:rFonts w:ascii="Segoe UI" w:eastAsia="Times New Roman" w:hAnsi="Segoe UI" w:cs="Segoe UI"/>
            <w:color w:val="0089E1"/>
            <w:sz w:val="18"/>
            <w:szCs w:val="18"/>
            <w:lang w:eastAsia="es-CO"/>
          </w:rPr>
          <w:t>artículo 744</w:t>
        </w:r>
      </w:hyperlink>
      <w:r w:rsidRPr="00C6121C">
        <w:rPr>
          <w:rFonts w:ascii="Segoe UI" w:eastAsia="Times New Roman" w:hAnsi="Segoe UI" w:cs="Segoe UI"/>
          <w:color w:val="000000"/>
          <w:sz w:val="18"/>
          <w:szCs w:val="18"/>
          <w:lang w:eastAsia="es-CO"/>
        </w:rPr>
        <w:t> </w:t>
      </w:r>
      <w:proofErr w:type="spellStart"/>
      <w:r w:rsidRPr="00C6121C">
        <w:rPr>
          <w:rFonts w:ascii="Segoe UI" w:eastAsia="Times New Roman" w:hAnsi="Segoe UI" w:cs="Segoe UI"/>
          <w:color w:val="000000"/>
          <w:sz w:val="18"/>
          <w:szCs w:val="18"/>
          <w:lang w:eastAsia="es-CO"/>
        </w:rPr>
        <w:t>ejusdem</w:t>
      </w:r>
      <w:proofErr w:type="spellEnd"/>
      <w:r w:rsidRPr="00C6121C">
        <w:rPr>
          <w:rFonts w:ascii="Segoe UI" w:eastAsia="Times New Roman" w:hAnsi="Segoe UI" w:cs="Segoe UI"/>
          <w:color w:val="000000"/>
          <w:sz w:val="18"/>
          <w:szCs w:val="18"/>
          <w:lang w:eastAsia="es-CO"/>
        </w:rPr>
        <w:t xml:space="preserve"> prevé que las pruebas deben formar parte de la declaración, haber sido allegadas en desarrollo de la facultad de fiscalización e investigación o en cumplimiento del deber de información, haberse acompañado o solicitado en la respuesta al requerimiento especial o en su ampliación, </w:t>
      </w:r>
      <w:r w:rsidRPr="00C6121C">
        <w:rPr>
          <w:rFonts w:ascii="Segoe UI" w:eastAsia="Times New Roman" w:hAnsi="Segoe UI" w:cs="Segoe UI"/>
          <w:b/>
          <w:bCs/>
          <w:color w:val="000000"/>
          <w:sz w:val="18"/>
          <w:szCs w:val="18"/>
          <w:lang w:eastAsia="es-CO"/>
        </w:rPr>
        <w:t>haberse acompañado al memorial de recurso</w:t>
      </w:r>
      <w:r w:rsidRPr="00C6121C">
        <w:rPr>
          <w:rFonts w:ascii="Segoe UI" w:eastAsia="Times New Roman" w:hAnsi="Segoe UI" w:cs="Segoe UI"/>
          <w:color w:val="000000"/>
          <w:sz w:val="18"/>
          <w:szCs w:val="18"/>
          <w:lang w:eastAsia="es-CO"/>
        </w:rPr>
        <w:t> o pedido en este, o haberse practicado de oficio, entre otras circunstancias</w:t>
      </w:r>
      <w:bookmarkStart w:id="25" w:name="_ftnref26"/>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"_ftn26"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[26]</w:t>
      </w:r>
      <w:r w:rsidRPr="00C6121C">
        <w:rPr>
          <w:rFonts w:ascii="Segoe UI" w:eastAsia="Times New Roman" w:hAnsi="Segoe UI" w:cs="Segoe UI"/>
          <w:color w:val="000000"/>
          <w:sz w:val="18"/>
          <w:szCs w:val="18"/>
          <w:lang w:eastAsia="es-CO"/>
        </w:rPr>
        <w:fldChar w:fldCharType="end"/>
      </w:r>
      <w:bookmarkEnd w:id="25"/>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Además, la Sala precisó que</w:t>
      </w:r>
      <w:bookmarkStart w:id="26" w:name="_ftnref27"/>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"_ftn27"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2"/>
          <w:lang w:eastAsia="es-CO"/>
        </w:rPr>
        <w:t>[27]</w:t>
      </w:r>
      <w:r w:rsidRPr="00C6121C">
        <w:rPr>
          <w:rFonts w:ascii="Arial" w:eastAsia="Times New Roman" w:hAnsi="Arial" w:cs="Arial"/>
          <w:color w:val="000000"/>
          <w:sz w:val="18"/>
          <w:szCs w:val="18"/>
          <w:lang w:eastAsia="es-CO"/>
        </w:rPr>
        <w:fldChar w:fldCharType="end"/>
      </w:r>
      <w:bookmarkEnd w:id="26"/>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«con la demanda se pueden presentar las pruebas necesarias para demostrar el derecho pretendido -como ocurre en este caso-, lo cual exige que el juez las valore y determine si cumplen la finalidad llevar certeza en relación con los hechos que se pretenden demostrar».</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En el caso concreto</w:t>
      </w:r>
      <w:r w:rsidRPr="00C6121C">
        <w:rPr>
          <w:rFonts w:ascii="Segoe UI" w:eastAsia="Times New Roman" w:hAnsi="Segoe UI" w:cs="Segoe UI"/>
          <w:color w:val="000000"/>
          <w:sz w:val="18"/>
          <w:szCs w:val="18"/>
          <w:lang w:eastAsia="es-CO"/>
        </w:rPr>
        <w:t>, la Sala observa que el</w:t>
      </w:r>
      <w:r w:rsidRPr="00C6121C">
        <w:rPr>
          <w:rFonts w:ascii="Segoe UI" w:eastAsia="Times New Roman" w:hAnsi="Segoe UI" w:cs="Segoe UI"/>
          <w:b/>
          <w:bCs/>
          <w:color w:val="000000"/>
          <w:sz w:val="18"/>
          <w:szCs w:val="18"/>
          <w:lang w:eastAsia="es-CO"/>
        </w:rPr>
        <w:t> </w:t>
      </w:r>
      <w:r w:rsidRPr="00C6121C">
        <w:rPr>
          <w:rFonts w:ascii="Segoe UI" w:eastAsia="Times New Roman" w:hAnsi="Segoe UI" w:cs="Segoe UI"/>
          <w:color w:val="000000"/>
          <w:sz w:val="18"/>
          <w:szCs w:val="18"/>
          <w:lang w:eastAsia="es-CO"/>
        </w:rPr>
        <w:t>14 de mayo de 2002, el actor presentó la declaración del impuesto sobre la renta del año gravable 2001, en la cual registró pasivos de $251.325.000, costos de $330.613.000, deducciones de $64.047.000, retenciones de $1.695.000, y un saldo a favor de $1.224.000.</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Para verificar la realidad de los datos declarados, la DIAN expidió el Requerimiento Ordinario 110632003000069 del 24 de febrero de 2003, en el cual solicitó:</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Copia del balance general y estado de ganancias y pérdidas comparativo, con sus respectivas notas</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Conciliación patrimonial 2000 - 2001</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Conciliación de la renta fiscal con la renta contable 2001</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Conciliación contable y fiscal de los ajustes integrales por inflación (2001) y los movimientos de la cuenta corrección monetaria, contable y fiscal</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Relación de proveedores de bienes y servicios - 2001</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Relación de cuentas corrientes y de ahorro - 2001</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Así mismo, el 25 de febrero de 2003, profirió auto de inspección contable, para verificar los libros de contabilidad del contribuyente.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Con la respuesta al requerimiento ordinario presentada el 25 de marzo de 2003, el actor allegó la siguiente información</w:t>
      </w:r>
      <w:bookmarkStart w:id="27" w:name="_ftnref28"/>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"_ftn28"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[28]</w:t>
      </w:r>
      <w:r w:rsidRPr="00C6121C">
        <w:rPr>
          <w:rFonts w:ascii="Segoe UI" w:eastAsia="Times New Roman" w:hAnsi="Segoe UI" w:cs="Segoe UI"/>
          <w:color w:val="000000"/>
          <w:sz w:val="18"/>
          <w:szCs w:val="18"/>
          <w:lang w:eastAsia="es-CO"/>
        </w:rPr>
        <w:fldChar w:fldCharType="end"/>
      </w:r>
      <w:bookmarkEnd w:id="27"/>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Relación retenedores o proveedores por compras</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Relación de proveedores de bienes y servicios</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Relación de clientes</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Certificado de Cámara de Comercio, en el cual consta que </w:t>
      </w:r>
      <w:r w:rsidRPr="00C6121C">
        <w:rPr>
          <w:rFonts w:ascii="Segoe UI" w:eastAsia="Times New Roman" w:hAnsi="Segoe UI" w:cs="Segoe UI"/>
          <w:i/>
          <w:iCs/>
          <w:color w:val="000000"/>
          <w:sz w:val="18"/>
          <w:szCs w:val="18"/>
          <w:lang w:eastAsia="es-CO"/>
        </w:rPr>
        <w:t>«según escritura No. 102 del 16 de enero de 2001, de la Notaría 4ª de Medellín, registrada en esta Entidad el 20 de febrero de 2001, en el libro 6º, folio 0096, bajo el No. 0672, mediante la cual el señor JULIO EFRÉN GÓMEZ MORENO (21-224964-1) aporta a la constitución de la sociedad DIPARCO LTDA. (21-278897-3) el establecimiento de comercio DIPARCO (21-288026-2)»</w:t>
      </w:r>
      <w:r w:rsidRPr="00C6121C">
        <w:rPr>
          <w:rFonts w:ascii="Segoe UI" w:eastAsia="Times New Roman" w:hAnsi="Segoe UI" w:cs="Segoe UI"/>
          <w:color w:val="000000"/>
          <w:sz w:val="18"/>
          <w:szCs w:val="18"/>
          <w:lang w:eastAsia="es-CO"/>
        </w:rPr>
        <w:t> y que </w:t>
      </w:r>
      <w:r w:rsidRPr="00C6121C">
        <w:rPr>
          <w:rFonts w:ascii="Segoe UI" w:eastAsia="Times New Roman" w:hAnsi="Segoe UI" w:cs="Segoe UI"/>
          <w:i/>
          <w:iCs/>
          <w:color w:val="000000"/>
          <w:sz w:val="18"/>
          <w:szCs w:val="18"/>
          <w:lang w:eastAsia="es-CO"/>
        </w:rPr>
        <w:t>«el día 20 de febrero de 2001, se canceló la Matrícula Mercantil No. 21-224964-1 del señor JULIO EFRÉN GÓMEZ MORENO».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Señaló, además, que </w:t>
      </w:r>
      <w:r w:rsidRPr="00C6121C">
        <w:rPr>
          <w:rFonts w:ascii="Segoe UI" w:eastAsia="Times New Roman" w:hAnsi="Segoe UI" w:cs="Segoe UI"/>
          <w:i/>
          <w:iCs/>
          <w:color w:val="000000"/>
          <w:sz w:val="18"/>
          <w:szCs w:val="18"/>
          <w:lang w:eastAsia="es-CO"/>
        </w:rPr>
        <w:t>«Cualquier información al respecto, favor hacerla saber a la Doctora Gloria Elena Cadavid Arango, quien está encargada de esta diligencia y tiene en su poder la información que se quiere revisar en la Cr. 43B Nro. 14-51 Of. 608 Teléfono 266 87 52»</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No obstante, el acta de inspección contable del 24 de febrero de 2004</w:t>
      </w:r>
      <w:bookmarkStart w:id="28" w:name="_ftnref29"/>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"_ftn29"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[29]</w:t>
      </w:r>
      <w:r w:rsidRPr="00C6121C">
        <w:rPr>
          <w:rFonts w:ascii="Segoe UI" w:eastAsia="Times New Roman" w:hAnsi="Segoe UI" w:cs="Segoe UI"/>
          <w:color w:val="000000"/>
          <w:sz w:val="18"/>
          <w:szCs w:val="18"/>
          <w:lang w:eastAsia="es-CO"/>
        </w:rPr>
        <w:fldChar w:fldCharType="end"/>
      </w:r>
      <w:bookmarkEnd w:id="28"/>
      <w:r w:rsidRPr="00C6121C">
        <w:rPr>
          <w:rFonts w:ascii="Segoe UI" w:eastAsia="Times New Roman" w:hAnsi="Segoe UI" w:cs="Segoe UI"/>
          <w:color w:val="000000"/>
          <w:sz w:val="18"/>
          <w:szCs w:val="18"/>
          <w:lang w:eastAsia="es-CO"/>
        </w:rPr>
        <w:t>, indicó que en la dirección informada en la respuesta al requerimiento de información funcionaba una empresa ajena al contribuyente y a su abogada, y que en las direcciones reportadas en el RUT y en la declaración de renta no residía el demandante, hecho que no fue sometido a discusión.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Destacó que el actor estaba obligado a llevar contabilidad, a presentarla cuando la autoridad fiscal la exija, y a guardar los soportes de los conceptos declarados (pasivos, costos, deducciones y retenciones) para permitir su verificación.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Ante la imposibilidad de verificar los conceptos declarados, el requerimiento especial propuso desconocer pasivos ($251.325.000), costos ($330.613.000), deducciones ($64.047.000) y retenciones ($1.695.000), e imponer las sanciones por inexactitud ($218.176.000) y por irregularidades en la contabilidad ($379.000), lo cual fue acogido en la liquidación de revisión, teniendo en cuenta que el actor no respondió al citado requerimiento.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Sin embargo, con el recurso de reconsideración, el actor allegó información en relación con los conceptos declarados, la cual no fue valorada en la resolución que decidió el recurso, bajo el argumento de que el </w:t>
      </w:r>
      <w:hyperlink r:id="rId35"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w:t>
      </w:r>
      <w:r w:rsidRPr="00C6121C">
        <w:rPr>
          <w:rFonts w:ascii="Segoe UI" w:eastAsia="Times New Roman" w:hAnsi="Segoe UI" w:cs="Segoe UI"/>
          <w:i/>
          <w:iCs/>
          <w:color w:val="000000"/>
          <w:sz w:val="18"/>
          <w:szCs w:val="18"/>
          <w:lang w:eastAsia="es-CO"/>
        </w:rPr>
        <w:t>«es claro y preciso al establecer que cuando no se presentan los libros y comprobantes cuando la administración los solicita, no pueden ser posteriormente invocados por el contribuyente como prueba a su favor, pues el hecho de admitir la prueba contable con posterioridad implica una clara contradicción de la norma</w:t>
      </w:r>
      <w:bookmarkStart w:id="29" w:name="_ftnref30"/>
      <w:r w:rsidRPr="00C6121C">
        <w:rPr>
          <w:rFonts w:ascii="Segoe UI" w:eastAsia="Times New Roman" w:hAnsi="Segoe UI" w:cs="Segoe UI"/>
          <w:i/>
          <w:iCs/>
          <w:color w:val="000000"/>
          <w:sz w:val="18"/>
          <w:szCs w:val="18"/>
          <w:lang w:eastAsia="es-CO"/>
        </w:rPr>
        <w:fldChar w:fldCharType="begin"/>
      </w:r>
      <w:r w:rsidRPr="00C6121C">
        <w:rPr>
          <w:rFonts w:ascii="Segoe UI" w:eastAsia="Times New Roman" w:hAnsi="Segoe UI" w:cs="Segoe UI"/>
          <w:i/>
          <w:iCs/>
          <w:color w:val="000000"/>
          <w:sz w:val="18"/>
          <w:szCs w:val="18"/>
          <w:lang w:eastAsia="es-CO"/>
        </w:rPr>
        <w:instrText xml:space="preserve"> HYPERLINK "https://www.ceta.org.co/html/vista_de_un_documento.asp?DocumentoID=36133" \l "_ftn30" \o "" </w:instrText>
      </w:r>
      <w:r w:rsidRPr="00C6121C">
        <w:rPr>
          <w:rFonts w:ascii="Segoe UI" w:eastAsia="Times New Roman" w:hAnsi="Segoe UI" w:cs="Segoe UI"/>
          <w:i/>
          <w:iCs/>
          <w:color w:val="000000"/>
          <w:sz w:val="18"/>
          <w:szCs w:val="18"/>
          <w:lang w:eastAsia="es-CO"/>
        </w:rPr>
        <w:fldChar w:fldCharType="separate"/>
      </w:r>
      <w:r w:rsidRPr="00C6121C">
        <w:rPr>
          <w:rFonts w:ascii="Segoe UI" w:eastAsia="Times New Roman" w:hAnsi="Segoe UI" w:cs="Segoe UI"/>
          <w:b/>
          <w:bCs/>
          <w:i/>
          <w:iCs/>
          <w:color w:val="0089E1"/>
          <w:sz w:val="22"/>
          <w:lang w:eastAsia="es-CO"/>
        </w:rPr>
        <w:t>[30]</w:t>
      </w:r>
      <w:r w:rsidRPr="00C6121C">
        <w:rPr>
          <w:rFonts w:ascii="Segoe UI" w:eastAsia="Times New Roman" w:hAnsi="Segoe UI" w:cs="Segoe UI"/>
          <w:i/>
          <w:iCs/>
          <w:color w:val="000000"/>
          <w:sz w:val="18"/>
          <w:szCs w:val="18"/>
          <w:lang w:eastAsia="es-CO"/>
        </w:rPr>
        <w:fldChar w:fldCharType="end"/>
      </w:r>
      <w:bookmarkEnd w:id="29"/>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Lo anterior no es de recibo de la Sala, porque al contribuyente le asistía el derecho de </w:t>
      </w:r>
      <w:r w:rsidRPr="00C6121C">
        <w:rPr>
          <w:rFonts w:ascii="Segoe UI" w:eastAsia="Times New Roman" w:hAnsi="Segoe UI" w:cs="Segoe UI"/>
          <w:b/>
          <w:bCs/>
          <w:color w:val="000000"/>
          <w:sz w:val="18"/>
          <w:szCs w:val="18"/>
          <w:lang w:eastAsia="es-CO"/>
        </w:rPr>
        <w:t>demostrar plenamente</w:t>
      </w:r>
      <w:r w:rsidRPr="00C6121C">
        <w:rPr>
          <w:rFonts w:ascii="Segoe UI" w:eastAsia="Times New Roman" w:hAnsi="Segoe UI" w:cs="Segoe UI"/>
          <w:color w:val="000000"/>
          <w:sz w:val="18"/>
          <w:szCs w:val="18"/>
          <w:lang w:eastAsia="es-CO"/>
        </w:rPr>
        <w:t> los conceptos declarados, y a la entidad demandada </w:t>
      </w:r>
      <w:r w:rsidRPr="00C6121C">
        <w:rPr>
          <w:rFonts w:ascii="Segoe UI" w:eastAsia="Times New Roman" w:hAnsi="Segoe UI" w:cs="Segoe UI"/>
          <w:b/>
          <w:bCs/>
          <w:color w:val="000000"/>
          <w:sz w:val="18"/>
          <w:szCs w:val="18"/>
          <w:lang w:eastAsia="es-CO"/>
        </w:rPr>
        <w:t>el deber de valorar las pruebas presentadas</w:t>
      </w:r>
      <w:r w:rsidRPr="00C6121C">
        <w:rPr>
          <w:rFonts w:ascii="Segoe UI" w:eastAsia="Times New Roman" w:hAnsi="Segoe UI" w:cs="Segoe UI"/>
          <w:color w:val="000000"/>
          <w:sz w:val="18"/>
          <w:szCs w:val="18"/>
          <w:lang w:eastAsia="es-CO"/>
        </w:rPr>
        <w:t> como soporte de los conceptos declarados</w:t>
      </w:r>
      <w:bookmarkStart w:id="30" w:name="_ftnref3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[31]</w:t>
      </w:r>
      <w:r w:rsidRPr="00C6121C">
        <w:rPr>
          <w:rFonts w:ascii="Segoe UI" w:eastAsia="Times New Roman" w:hAnsi="Segoe UI" w:cs="Segoe UI"/>
          <w:color w:val="000000"/>
          <w:sz w:val="18"/>
          <w:szCs w:val="18"/>
          <w:lang w:eastAsia="es-CO"/>
        </w:rPr>
        <w:fldChar w:fldCharType="end"/>
      </w:r>
      <w:bookmarkEnd w:id="30"/>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ese sentido, la Sala observa que en materia tributaria son admisibles los medios de prueba legalmente aceptados por la legislación fiscal y por la legislación civil</w:t>
      </w:r>
      <w:bookmarkStart w:id="31" w:name="_ftnref3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[32]</w:t>
      </w:r>
      <w:r w:rsidRPr="00C6121C">
        <w:rPr>
          <w:rFonts w:ascii="Segoe UI" w:eastAsia="Times New Roman" w:hAnsi="Segoe UI" w:cs="Segoe UI"/>
          <w:color w:val="000000"/>
          <w:sz w:val="18"/>
          <w:szCs w:val="18"/>
          <w:lang w:eastAsia="es-CO"/>
        </w:rPr>
        <w:fldChar w:fldCharType="end"/>
      </w:r>
      <w:bookmarkEnd w:id="31"/>
      <w:r w:rsidRPr="00C6121C">
        <w:rPr>
          <w:rFonts w:ascii="Segoe UI" w:eastAsia="Times New Roman" w:hAnsi="Segoe UI" w:cs="Segoe UI"/>
          <w:color w:val="000000"/>
          <w:sz w:val="18"/>
          <w:szCs w:val="18"/>
          <w:lang w:eastAsia="es-CO"/>
        </w:rPr>
        <w:t>; no obstante, el </w:t>
      </w:r>
      <w:hyperlink r:id="rId36" w:tooltip="Estatuto Tributario CETA" w:history="1">
        <w:r w:rsidRPr="00C6121C">
          <w:rPr>
            <w:rFonts w:ascii="Segoe UI" w:eastAsia="Times New Roman" w:hAnsi="Segoe UI" w:cs="Segoe UI"/>
            <w:color w:val="0089E1"/>
            <w:sz w:val="18"/>
            <w:szCs w:val="18"/>
            <w:lang w:eastAsia="es-CO"/>
          </w:rPr>
          <w:t>artículo 743</w:t>
        </w:r>
      </w:hyperlink>
      <w:r w:rsidRPr="00C6121C">
        <w:rPr>
          <w:rFonts w:ascii="Segoe UI" w:eastAsia="Times New Roman" w:hAnsi="Segoe UI" w:cs="Segoe UI"/>
          <w:color w:val="000000"/>
          <w:sz w:val="18"/>
          <w:szCs w:val="18"/>
          <w:lang w:eastAsia="es-CO"/>
        </w:rPr>
        <w:t> del Estatuto Tributario señala que la idoneidad</w:t>
      </w:r>
      <w:bookmarkStart w:id="32" w:name="_ftnref33"/>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"_ftn33"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[33]</w:t>
      </w:r>
      <w:r w:rsidRPr="00C6121C">
        <w:rPr>
          <w:rFonts w:ascii="Segoe UI" w:eastAsia="Times New Roman" w:hAnsi="Segoe UI" w:cs="Segoe UI"/>
          <w:color w:val="000000"/>
          <w:sz w:val="18"/>
          <w:szCs w:val="18"/>
          <w:lang w:eastAsia="es-CO"/>
        </w:rPr>
        <w:fldChar w:fldCharType="end"/>
      </w:r>
      <w:bookmarkEnd w:id="32"/>
      <w:r w:rsidRPr="00C6121C">
        <w:rPr>
          <w:rFonts w:ascii="Segoe UI" w:eastAsia="Times New Roman" w:hAnsi="Segoe UI" w:cs="Segoe UI"/>
          <w:color w:val="000000"/>
          <w:sz w:val="18"/>
          <w:szCs w:val="18"/>
          <w:lang w:eastAsia="es-CO"/>
        </w:rPr>
        <w:t> de los mismos depende de las exigencias que la ley establezca para demostrar determinados hechos.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Costos, deducciones e impuestos descontables: </w:t>
      </w:r>
      <w:r w:rsidRPr="00C6121C">
        <w:rPr>
          <w:rFonts w:ascii="Segoe UI" w:eastAsia="Times New Roman" w:hAnsi="Segoe UI" w:cs="Segoe UI"/>
          <w:color w:val="000000"/>
          <w:sz w:val="18"/>
          <w:szCs w:val="18"/>
          <w:lang w:eastAsia="es-CO"/>
        </w:rPr>
        <w:t>El </w:t>
      </w:r>
      <w:hyperlink r:id="rId37" w:tooltip="Estatuto Tributario CETA" w:history="1">
        <w:r w:rsidRPr="00C6121C">
          <w:rPr>
            <w:rFonts w:ascii="Segoe UI" w:eastAsia="Times New Roman" w:hAnsi="Segoe UI" w:cs="Segoe UI"/>
            <w:color w:val="0089E1"/>
            <w:sz w:val="18"/>
            <w:szCs w:val="18"/>
            <w:lang w:eastAsia="es-CO"/>
          </w:rPr>
          <w:t>artículo 771-2</w:t>
        </w:r>
      </w:hyperlink>
      <w:r w:rsidRPr="00C6121C">
        <w:rPr>
          <w:rFonts w:ascii="Segoe UI" w:eastAsia="Times New Roman" w:hAnsi="Segoe UI" w:cs="Segoe UI"/>
          <w:color w:val="000000"/>
          <w:sz w:val="18"/>
          <w:szCs w:val="18"/>
          <w:lang w:eastAsia="es-CO"/>
        </w:rPr>
        <w:t> del Estatuto Tributario establece que el documento idóneo para demostrar la procedencia de costos, deducciones e impuestos descontables, es la factura o el documento equivalente, al señalar:</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sz w:val="22"/>
          <w:lang w:eastAsia="es-CO"/>
        </w:rPr>
        <w:t>«</w:t>
      </w:r>
      <w:hyperlink r:id="rId38" w:tooltip="Estatuto Tributario CETA" w:history="1">
        <w:r w:rsidRPr="00C6121C">
          <w:rPr>
            <w:rFonts w:ascii="Segoe UI" w:eastAsia="Times New Roman" w:hAnsi="Segoe UI" w:cs="Segoe UI"/>
            <w:b/>
            <w:bCs/>
            <w:i/>
            <w:iCs/>
            <w:color w:val="0089E1"/>
            <w:sz w:val="22"/>
            <w:lang w:eastAsia="es-CO"/>
          </w:rPr>
          <w:t>Art. 771-2</w:t>
        </w:r>
      </w:hyperlink>
      <w:r w:rsidRPr="00C6121C">
        <w:rPr>
          <w:rFonts w:ascii="Segoe UI" w:eastAsia="Times New Roman" w:hAnsi="Segoe UI" w:cs="Segoe UI"/>
          <w:b/>
          <w:bCs/>
          <w:i/>
          <w:iCs/>
          <w:sz w:val="22"/>
          <w:lang w:eastAsia="es-CO"/>
        </w:rPr>
        <w:t>. Procedencia de costos, deducciones e impuestos descontables.</w:t>
      </w:r>
      <w:r w:rsidRPr="00C6121C">
        <w:rPr>
          <w:rFonts w:ascii="Segoe UI" w:eastAsia="Times New Roman" w:hAnsi="Segoe UI" w:cs="Segoe UI"/>
          <w:i/>
          <w:iCs/>
          <w:sz w:val="22"/>
          <w:lang w:eastAsia="es-CO"/>
        </w:rPr>
        <w:t> </w:t>
      </w:r>
      <w:r w:rsidRPr="00C6121C">
        <w:rPr>
          <w:rFonts w:ascii="Segoe UI" w:eastAsia="Times New Roman" w:hAnsi="Segoe UI" w:cs="Segoe UI"/>
          <w:i/>
          <w:iCs/>
          <w:sz w:val="22"/>
          <w:u w:val="single"/>
          <w:lang w:eastAsia="es-CO"/>
        </w:rPr>
        <w:t>Para la procedencia de costos y deducciones en el impuesto sobre la renta</w:t>
      </w:r>
      <w:r w:rsidRPr="00C6121C">
        <w:rPr>
          <w:rFonts w:ascii="Segoe UI" w:eastAsia="Times New Roman" w:hAnsi="Segoe UI" w:cs="Segoe UI"/>
          <w:i/>
          <w:iCs/>
          <w:sz w:val="22"/>
          <w:lang w:eastAsia="es-CO"/>
        </w:rPr>
        <w:t>, así como de los impuestos descontables en el impuesto sobre las ventas, </w:t>
      </w:r>
      <w:r w:rsidRPr="00C6121C">
        <w:rPr>
          <w:rFonts w:ascii="Segoe UI" w:eastAsia="Times New Roman" w:hAnsi="Segoe UI" w:cs="Segoe UI"/>
          <w:i/>
          <w:iCs/>
          <w:sz w:val="22"/>
          <w:u w:val="single"/>
          <w:lang w:eastAsia="es-CO"/>
        </w:rPr>
        <w:t>se requerirá de facturas con el cumplimiento de los requisitos establecidos en los literales b), c), d), e), f) y g) de los artículos </w:t>
      </w:r>
      <w:hyperlink r:id="rId39" w:tooltip="Estatuto Tributario CETA" w:history="1">
        <w:r w:rsidRPr="00C6121C">
          <w:rPr>
            <w:rFonts w:ascii="Segoe UI" w:eastAsia="Times New Roman" w:hAnsi="Segoe UI" w:cs="Segoe UI"/>
            <w:i/>
            <w:iCs/>
            <w:color w:val="0089E1"/>
            <w:sz w:val="22"/>
            <w:lang w:eastAsia="es-CO"/>
          </w:rPr>
          <w:t>617</w:t>
        </w:r>
      </w:hyperlink>
      <w:r w:rsidRPr="00C6121C">
        <w:rPr>
          <w:rFonts w:ascii="Segoe UI" w:eastAsia="Times New Roman" w:hAnsi="Segoe UI" w:cs="Segoe UI"/>
          <w:i/>
          <w:iCs/>
          <w:sz w:val="22"/>
          <w:u w:val="single"/>
          <w:lang w:eastAsia="es-CO"/>
        </w:rPr>
        <w:t> y </w:t>
      </w:r>
      <w:hyperlink r:id="rId40" w:tooltip="Estatuto Tributario CETA" w:history="1">
        <w:r w:rsidRPr="00C6121C">
          <w:rPr>
            <w:rFonts w:ascii="Segoe UI" w:eastAsia="Times New Roman" w:hAnsi="Segoe UI" w:cs="Segoe UI"/>
            <w:i/>
            <w:iCs/>
            <w:color w:val="0089E1"/>
            <w:sz w:val="22"/>
            <w:lang w:eastAsia="es-CO"/>
          </w:rPr>
          <w:t>618</w:t>
        </w:r>
      </w:hyperlink>
      <w:r w:rsidRPr="00C6121C">
        <w:rPr>
          <w:rFonts w:ascii="Segoe UI" w:eastAsia="Times New Roman" w:hAnsi="Segoe UI" w:cs="Segoe UI"/>
          <w:i/>
          <w:iCs/>
          <w:sz w:val="22"/>
          <w:u w:val="single"/>
          <w:lang w:eastAsia="es-CO"/>
        </w:rPr>
        <w:t> del Estatuto Tributario.</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sz w:val="22"/>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sz w:val="22"/>
          <w:u w:val="single"/>
          <w:lang w:eastAsia="es-CO"/>
        </w:rPr>
        <w:t>Tratándose de documentos equivalentes se deberán cumplir los requisitos contenidos en los literales b), d), e) y g) del </w:t>
      </w:r>
      <w:hyperlink r:id="rId41" w:tooltip="Estatuto Tributario CETA" w:history="1">
        <w:r w:rsidRPr="00C6121C">
          <w:rPr>
            <w:rFonts w:ascii="Segoe UI" w:eastAsia="Times New Roman" w:hAnsi="Segoe UI" w:cs="Segoe UI"/>
            <w:i/>
            <w:iCs/>
            <w:color w:val="0089E1"/>
            <w:sz w:val="22"/>
            <w:lang w:eastAsia="es-CO"/>
          </w:rPr>
          <w:t>artículo 617</w:t>
        </w:r>
      </w:hyperlink>
      <w:r w:rsidRPr="00C6121C">
        <w:rPr>
          <w:rFonts w:ascii="Segoe UI" w:eastAsia="Times New Roman" w:hAnsi="Segoe UI" w:cs="Segoe UI"/>
          <w:i/>
          <w:iCs/>
          <w:sz w:val="22"/>
          <w:u w:val="single"/>
          <w:lang w:eastAsia="es-CO"/>
        </w:rPr>
        <w:t> del Estatuto Tributario</w:t>
      </w:r>
      <w:r w:rsidRPr="00C6121C">
        <w:rPr>
          <w:rFonts w:ascii="Segoe UI" w:eastAsia="Times New Roman" w:hAnsi="Segoe UI" w:cs="Segoe UI"/>
          <w:i/>
          <w:iCs/>
          <w:sz w:val="22"/>
          <w:lang w:eastAsia="es-CO"/>
        </w:rPr>
        <w:t>.</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sz w:val="22"/>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sz w:val="22"/>
          <w:u w:val="single"/>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r w:rsidRPr="00C6121C">
        <w:rPr>
          <w:rFonts w:ascii="Segoe UI" w:eastAsia="Times New Roman" w:hAnsi="Segoe UI" w:cs="Segoe UI"/>
          <w:i/>
          <w:iCs/>
          <w:sz w:val="22"/>
          <w:lang w:eastAsia="es-CO"/>
        </w:rPr>
        <w:t>.</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i/>
          <w:iCs/>
          <w:sz w:val="22"/>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sz w:val="22"/>
          <w:lang w:eastAsia="es-CO"/>
        </w:rPr>
        <w:t>PARÁGRAFO.</w:t>
      </w:r>
      <w:r w:rsidRPr="00C6121C">
        <w:rPr>
          <w:rFonts w:ascii="Segoe UI" w:eastAsia="Times New Roman" w:hAnsi="Segoe UI" w:cs="Segoe UI"/>
          <w:i/>
          <w:iCs/>
          <w:sz w:val="22"/>
          <w:lang w:eastAsia="es-CO"/>
        </w:rPr>
        <w:t> En lo referente al cumplimiento del requisito establecido en el literal d) del </w:t>
      </w:r>
      <w:hyperlink r:id="rId42" w:tooltip="Estatuto Tributario CETA" w:history="1">
        <w:r w:rsidRPr="00C6121C">
          <w:rPr>
            <w:rFonts w:ascii="Segoe UI" w:eastAsia="Times New Roman" w:hAnsi="Segoe UI" w:cs="Segoe UI"/>
            <w:i/>
            <w:iCs/>
            <w:color w:val="0089E1"/>
            <w:sz w:val="22"/>
            <w:lang w:eastAsia="es-CO"/>
          </w:rPr>
          <w:t>artículo 617</w:t>
        </w:r>
      </w:hyperlink>
      <w:r w:rsidRPr="00C6121C">
        <w:rPr>
          <w:rFonts w:ascii="Segoe UI" w:eastAsia="Times New Roman" w:hAnsi="Segoe UI" w:cs="Segoe UI"/>
          <w:i/>
          <w:iCs/>
          <w:sz w:val="22"/>
          <w:lang w:eastAsia="es-CO"/>
        </w:rPr>
        <w:t> del Estatuto Tributario para la procedencia de costos, deducciones y de impuestos descontables, bastará que la factura o documento equivalente contenga la correspondiente numeración». </w:t>
      </w:r>
      <w:r w:rsidRPr="00C6121C">
        <w:rPr>
          <w:rFonts w:ascii="Segoe UI" w:eastAsia="Times New Roman" w:hAnsi="Segoe UI" w:cs="Segoe UI"/>
          <w:sz w:val="22"/>
          <w:lang w:eastAsia="es-CO"/>
        </w:rPr>
        <w:t>(Se subraya).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inciso 3 de la norma transcrita prevé que, cuando no existe la obligación de expedir factura o documento equivalente, el documento que pruebe la transacción debe acreditar los requisitos establecidos por el Gobierno Nacional, los cuales, durante los hechos en discusión, fueron establecidos por el artículo 3º del Decreto 3050 de 1997</w:t>
      </w:r>
      <w:bookmarkStart w:id="33" w:name="_ftnref34"/>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"_ftn34"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[34]</w:t>
      </w:r>
      <w:r w:rsidRPr="00C6121C">
        <w:rPr>
          <w:rFonts w:ascii="Segoe UI" w:eastAsia="Times New Roman" w:hAnsi="Segoe UI" w:cs="Segoe UI"/>
          <w:color w:val="000000"/>
          <w:sz w:val="18"/>
          <w:szCs w:val="18"/>
          <w:lang w:eastAsia="es-CO"/>
        </w:rPr>
        <w:fldChar w:fldCharType="end"/>
      </w:r>
      <w:bookmarkEnd w:id="33"/>
      <w:r w:rsidRPr="00C6121C">
        <w:rPr>
          <w:rFonts w:ascii="Segoe UI" w:eastAsia="Times New Roman" w:hAnsi="Segoe UI" w:cs="Segoe UI"/>
          <w:color w:val="000000"/>
          <w:sz w:val="18"/>
          <w:szCs w:val="18"/>
          <w:lang w:eastAsia="es-CO"/>
        </w:rPr>
        <w:t>, así: </w:t>
      </w:r>
      <w:r w:rsidRPr="00C6121C">
        <w:rPr>
          <w:rFonts w:ascii="Segoe UI" w:eastAsia="Times New Roman" w:hAnsi="Segoe UI" w:cs="Segoe UI"/>
          <w:i/>
          <w:iCs/>
          <w:color w:val="000000"/>
          <w:sz w:val="18"/>
          <w:szCs w:val="18"/>
          <w:lang w:eastAsia="es-CO"/>
        </w:rPr>
        <w:t>«1. Apellidos y nombre o razón social y NIT de la persona o entidad beneficiaria del pago o abono. 2. Fecha de la transacción. 3. Concepto. 4. Valor de la operación. 5. La discriminación del impuesto generado en la operación, para el caso del impuesto sobre las ventas descontable».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Pasivos: </w:t>
      </w:r>
      <w:r w:rsidRPr="00C6121C">
        <w:rPr>
          <w:rFonts w:ascii="Segoe UI" w:eastAsia="Times New Roman" w:hAnsi="Segoe UI" w:cs="Segoe UI"/>
          <w:color w:val="000000"/>
          <w:sz w:val="18"/>
          <w:szCs w:val="18"/>
          <w:lang w:eastAsia="es-CO"/>
        </w:rPr>
        <w:t>En el caso de los contribuyentes obligados a llevar contabilidad, el </w:t>
      </w:r>
      <w:hyperlink r:id="rId43" w:tooltip="Estatuto Tributario CETA" w:history="1">
        <w:r w:rsidRPr="00C6121C">
          <w:rPr>
            <w:rFonts w:ascii="Segoe UI" w:eastAsia="Times New Roman" w:hAnsi="Segoe UI" w:cs="Segoe UI"/>
            <w:color w:val="0089E1"/>
            <w:sz w:val="18"/>
            <w:szCs w:val="18"/>
            <w:lang w:eastAsia="es-CO"/>
          </w:rPr>
          <w:t>artículo 770</w:t>
        </w:r>
      </w:hyperlink>
      <w:r w:rsidRPr="00C6121C">
        <w:rPr>
          <w:rFonts w:ascii="Segoe UI" w:eastAsia="Times New Roman" w:hAnsi="Segoe UI" w:cs="Segoe UI"/>
          <w:color w:val="000000"/>
          <w:sz w:val="18"/>
          <w:szCs w:val="18"/>
          <w:lang w:eastAsia="es-CO"/>
        </w:rPr>
        <w:t> del Estatuto Tributario estableció que </w:t>
      </w:r>
      <w:r w:rsidRPr="00C6121C">
        <w:rPr>
          <w:rFonts w:ascii="Segoe UI" w:eastAsia="Times New Roman" w:hAnsi="Segoe UI" w:cs="Segoe UI"/>
          <w:i/>
          <w:iCs/>
          <w:color w:val="000000"/>
          <w:sz w:val="18"/>
          <w:szCs w:val="18"/>
          <w:lang w:eastAsia="es-CO"/>
        </w:rPr>
        <w:t>«los pasivos deberán estar respaldados por documentos idóneos y con el lleno de todas las formalidades exigidas para la contabilidad», </w:t>
      </w:r>
      <w:r w:rsidRPr="00C6121C">
        <w:rPr>
          <w:rFonts w:ascii="Segoe UI" w:eastAsia="Times New Roman" w:hAnsi="Segoe UI" w:cs="Segoe UI"/>
          <w:color w:val="000000"/>
          <w:sz w:val="18"/>
          <w:szCs w:val="18"/>
          <w:lang w:eastAsia="es-CO"/>
        </w:rPr>
        <w:t>lo cual fue abordado por la Sala al señalar que, </w:t>
      </w:r>
      <w:r w:rsidRPr="00C6121C">
        <w:rPr>
          <w:rFonts w:ascii="Segoe UI" w:eastAsia="Times New Roman" w:hAnsi="Segoe UI" w:cs="Segoe UI"/>
          <w:i/>
          <w:iCs/>
          <w:color w:val="000000"/>
          <w:sz w:val="18"/>
          <w:szCs w:val="18"/>
          <w:lang w:eastAsia="es-CO"/>
        </w:rPr>
        <w:t>«Para la acreditación de los pasivos, el Legislador estableció una prueba específica como es la documental, de tal suerte que si esta no existe o es insuficiente, no puede ser apreciada y, por lo tanto, la deuda se tendrá como no demostrada</w:t>
      </w:r>
      <w:bookmarkStart w:id="34" w:name="_ftnref35"/>
      <w:r w:rsidRPr="00C6121C">
        <w:rPr>
          <w:rFonts w:ascii="Segoe UI" w:eastAsia="Times New Roman" w:hAnsi="Segoe UI" w:cs="Segoe UI"/>
          <w:i/>
          <w:iCs/>
          <w:color w:val="000000"/>
          <w:sz w:val="18"/>
          <w:szCs w:val="18"/>
          <w:lang w:eastAsia="es-CO"/>
        </w:rPr>
        <w:fldChar w:fldCharType="begin"/>
      </w:r>
      <w:r w:rsidRPr="00C6121C">
        <w:rPr>
          <w:rFonts w:ascii="Segoe UI" w:eastAsia="Times New Roman" w:hAnsi="Segoe UI" w:cs="Segoe UI"/>
          <w:i/>
          <w:iCs/>
          <w:color w:val="000000"/>
          <w:sz w:val="18"/>
          <w:szCs w:val="18"/>
          <w:lang w:eastAsia="es-CO"/>
        </w:rPr>
        <w:instrText xml:space="preserve"> HYPERLINK "https://www.ceta.org.co/html/vista_de_un_documento.asp?DocumentoID=36133" \l "_ftn35" \o "" </w:instrText>
      </w:r>
      <w:r w:rsidRPr="00C6121C">
        <w:rPr>
          <w:rFonts w:ascii="Segoe UI" w:eastAsia="Times New Roman" w:hAnsi="Segoe UI" w:cs="Segoe UI"/>
          <w:i/>
          <w:iCs/>
          <w:color w:val="000000"/>
          <w:sz w:val="18"/>
          <w:szCs w:val="18"/>
          <w:lang w:eastAsia="es-CO"/>
        </w:rPr>
        <w:fldChar w:fldCharType="separate"/>
      </w:r>
      <w:r w:rsidRPr="00C6121C">
        <w:rPr>
          <w:rFonts w:ascii="Segoe UI" w:eastAsia="Times New Roman" w:hAnsi="Segoe UI" w:cs="Segoe UI"/>
          <w:b/>
          <w:bCs/>
          <w:i/>
          <w:iCs/>
          <w:color w:val="0089E1"/>
          <w:sz w:val="22"/>
          <w:lang w:eastAsia="es-CO"/>
        </w:rPr>
        <w:t>[35]</w:t>
      </w:r>
      <w:r w:rsidRPr="00C6121C">
        <w:rPr>
          <w:rFonts w:ascii="Segoe UI" w:eastAsia="Times New Roman" w:hAnsi="Segoe UI" w:cs="Segoe UI"/>
          <w:i/>
          <w:iCs/>
          <w:color w:val="000000"/>
          <w:sz w:val="18"/>
          <w:szCs w:val="18"/>
          <w:lang w:eastAsia="es-CO"/>
        </w:rPr>
        <w:fldChar w:fldCharType="end"/>
      </w:r>
      <w:bookmarkEnd w:id="34"/>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ese sentido, el </w:t>
      </w:r>
      <w:hyperlink r:id="rId44" w:tooltip="Estatuto Tributario CETA" w:history="1">
        <w:r w:rsidRPr="00C6121C">
          <w:rPr>
            <w:rFonts w:ascii="Segoe UI" w:eastAsia="Times New Roman" w:hAnsi="Segoe UI" w:cs="Segoe UI"/>
            <w:color w:val="0089E1"/>
            <w:sz w:val="18"/>
            <w:szCs w:val="18"/>
            <w:lang w:eastAsia="es-CO"/>
          </w:rPr>
          <w:t>artículo 771</w:t>
        </w:r>
      </w:hyperlink>
      <w:r w:rsidRPr="00C6121C">
        <w:rPr>
          <w:rFonts w:ascii="Segoe UI" w:eastAsia="Times New Roman" w:hAnsi="Segoe UI" w:cs="Segoe UI"/>
          <w:color w:val="000000"/>
          <w:sz w:val="18"/>
          <w:szCs w:val="18"/>
          <w:lang w:eastAsia="es-CO"/>
        </w:rPr>
        <w:t> del Estatuto Tributario dispone que si bien el incumplimiento de lo dispuesto en el </w:t>
      </w:r>
      <w:hyperlink r:id="rId45" w:tooltip="Estatuto Tributario CETA" w:history="1">
        <w:r w:rsidRPr="00C6121C">
          <w:rPr>
            <w:rFonts w:ascii="Segoe UI" w:eastAsia="Times New Roman" w:hAnsi="Segoe UI" w:cs="Segoe UI"/>
            <w:color w:val="0089E1"/>
            <w:sz w:val="18"/>
            <w:szCs w:val="18"/>
            <w:lang w:eastAsia="es-CO"/>
          </w:rPr>
          <w:t>artículo 770</w:t>
        </w:r>
      </w:hyperlink>
      <w:r w:rsidRPr="00C6121C">
        <w:rPr>
          <w:rFonts w:ascii="Segoe UI" w:eastAsia="Times New Roman" w:hAnsi="Segoe UI" w:cs="Segoe UI"/>
          <w:color w:val="000000"/>
          <w:sz w:val="18"/>
          <w:szCs w:val="18"/>
          <w:lang w:eastAsia="es-CO"/>
        </w:rPr>
        <w:t> </w:t>
      </w:r>
      <w:proofErr w:type="spellStart"/>
      <w:r w:rsidRPr="00C6121C">
        <w:rPr>
          <w:rFonts w:ascii="Segoe UI" w:eastAsia="Times New Roman" w:hAnsi="Segoe UI" w:cs="Segoe UI"/>
          <w:i/>
          <w:iCs/>
          <w:color w:val="000000"/>
          <w:sz w:val="18"/>
          <w:szCs w:val="18"/>
          <w:lang w:eastAsia="es-CO"/>
        </w:rPr>
        <w:t>ejusdem</w:t>
      </w:r>
      <w:proofErr w:type="spellEnd"/>
      <w:r w:rsidRPr="00C6121C">
        <w:rPr>
          <w:rFonts w:ascii="Segoe UI" w:eastAsia="Times New Roman" w:hAnsi="Segoe UI" w:cs="Segoe UI"/>
          <w:i/>
          <w:iCs/>
          <w:color w:val="000000"/>
          <w:sz w:val="18"/>
          <w:szCs w:val="18"/>
          <w:lang w:eastAsia="es-CO"/>
        </w:rPr>
        <w:t> </w:t>
      </w:r>
      <w:r w:rsidRPr="00C6121C">
        <w:rPr>
          <w:rFonts w:ascii="Segoe UI" w:eastAsia="Times New Roman" w:hAnsi="Segoe UI" w:cs="Segoe UI"/>
          <w:color w:val="000000"/>
          <w:sz w:val="18"/>
          <w:szCs w:val="18"/>
          <w:lang w:eastAsia="es-CO"/>
        </w:rPr>
        <w:t>acarrea el desconocimiento de pasivos, mediante prueba supletoria se puede establecer que </w:t>
      </w:r>
      <w:r w:rsidRPr="00C6121C">
        <w:rPr>
          <w:rFonts w:ascii="Segoe UI" w:eastAsia="Times New Roman" w:hAnsi="Segoe UI" w:cs="Segoe UI"/>
          <w:i/>
          <w:iCs/>
          <w:color w:val="000000"/>
          <w:sz w:val="18"/>
          <w:szCs w:val="18"/>
          <w:lang w:eastAsia="es-CO"/>
        </w:rPr>
        <w:t>«las cantidades respectivas y sus rendimientos, fueron oportunamente declarados por el beneficiario</w:t>
      </w:r>
      <w:bookmarkStart w:id="35" w:name="_ftnref36"/>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"_ftn36"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b/>
          <w:bCs/>
          <w:i/>
          <w:iCs/>
          <w:color w:val="0089E1"/>
          <w:sz w:val="22"/>
          <w:lang w:eastAsia="es-CO"/>
        </w:rPr>
        <w:t>[36]</w:t>
      </w:r>
      <w:r w:rsidRPr="00C6121C">
        <w:rPr>
          <w:rFonts w:ascii="Arial" w:eastAsia="Times New Roman" w:hAnsi="Arial" w:cs="Arial"/>
          <w:color w:val="000000"/>
          <w:sz w:val="18"/>
          <w:szCs w:val="18"/>
          <w:lang w:eastAsia="es-CO"/>
        </w:rPr>
        <w:fldChar w:fldCharType="end"/>
      </w:r>
      <w:bookmarkEnd w:id="35"/>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lastRenderedPageBreak/>
        <w:t> </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Retenciones: </w:t>
      </w:r>
      <w:r w:rsidRPr="00C6121C">
        <w:rPr>
          <w:rFonts w:ascii="Segoe UI" w:eastAsia="Times New Roman" w:hAnsi="Segoe UI" w:cs="Segoe UI"/>
          <w:color w:val="000000"/>
          <w:sz w:val="18"/>
          <w:szCs w:val="18"/>
          <w:lang w:eastAsia="es-CO"/>
        </w:rPr>
        <w:t>El </w:t>
      </w:r>
      <w:hyperlink r:id="rId46" w:tooltip="Estatuto Tributario CETA" w:history="1">
        <w:r w:rsidRPr="00C6121C">
          <w:rPr>
            <w:rFonts w:ascii="Segoe UI" w:eastAsia="Times New Roman" w:hAnsi="Segoe UI" w:cs="Segoe UI"/>
            <w:color w:val="0089E1"/>
            <w:sz w:val="18"/>
            <w:szCs w:val="18"/>
            <w:lang w:eastAsia="es-CO"/>
          </w:rPr>
          <w:t>artículo 367</w:t>
        </w:r>
      </w:hyperlink>
      <w:r w:rsidRPr="00C6121C">
        <w:rPr>
          <w:rFonts w:ascii="Segoe UI" w:eastAsia="Times New Roman" w:hAnsi="Segoe UI" w:cs="Segoe UI"/>
          <w:color w:val="000000"/>
          <w:sz w:val="18"/>
          <w:szCs w:val="18"/>
          <w:lang w:eastAsia="es-CO"/>
        </w:rPr>
        <w:t> del Estatuto Tributario señala que </w:t>
      </w:r>
      <w:r w:rsidRPr="00C6121C">
        <w:rPr>
          <w:rFonts w:ascii="Segoe UI" w:eastAsia="Times New Roman" w:hAnsi="Segoe UI" w:cs="Segoe UI"/>
          <w:i/>
          <w:iCs/>
          <w:color w:val="000000"/>
          <w:sz w:val="18"/>
          <w:szCs w:val="18"/>
          <w:lang w:eastAsia="es-CO"/>
        </w:rPr>
        <w:t>«la retención en la fuente tiene por objeto conseguir en forma gradual que el impuesto se recauda en lo posible dentro del mismo ejercicio gravable en que se cause».</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Por su parte, el </w:t>
      </w:r>
      <w:hyperlink r:id="rId47" w:tooltip="Estatuto Tributario CETA" w:history="1">
        <w:r w:rsidRPr="00C6121C">
          <w:rPr>
            <w:rFonts w:ascii="Segoe UI" w:eastAsia="Times New Roman" w:hAnsi="Segoe UI" w:cs="Segoe UI"/>
            <w:color w:val="0089E1"/>
            <w:sz w:val="18"/>
            <w:szCs w:val="18"/>
            <w:lang w:eastAsia="es-CO"/>
          </w:rPr>
          <w:t>artículo 373</w:t>
        </w:r>
      </w:hyperlink>
      <w:r w:rsidRPr="00C6121C">
        <w:rPr>
          <w:rFonts w:ascii="Segoe UI" w:eastAsia="Times New Roman" w:hAnsi="Segoe UI" w:cs="Segoe UI"/>
          <w:color w:val="000000"/>
          <w:sz w:val="18"/>
          <w:szCs w:val="18"/>
          <w:lang w:eastAsia="es-CO"/>
        </w:rPr>
        <w:t> </w:t>
      </w:r>
      <w:proofErr w:type="spellStart"/>
      <w:r w:rsidRPr="00C6121C">
        <w:rPr>
          <w:rFonts w:ascii="Segoe UI" w:eastAsia="Times New Roman" w:hAnsi="Segoe UI" w:cs="Segoe UI"/>
          <w:i/>
          <w:iCs/>
          <w:color w:val="000000"/>
          <w:sz w:val="18"/>
          <w:szCs w:val="18"/>
          <w:lang w:eastAsia="es-CO"/>
        </w:rPr>
        <w:t>ejusdem</w:t>
      </w:r>
      <w:proofErr w:type="spellEnd"/>
      <w:r w:rsidRPr="00C6121C">
        <w:rPr>
          <w:rFonts w:ascii="Segoe UI" w:eastAsia="Times New Roman" w:hAnsi="Segoe UI" w:cs="Segoe UI"/>
          <w:i/>
          <w:iCs/>
          <w:color w:val="000000"/>
          <w:sz w:val="18"/>
          <w:szCs w:val="18"/>
          <w:lang w:eastAsia="es-CO"/>
        </w:rPr>
        <w:t> </w:t>
      </w:r>
      <w:r w:rsidRPr="00C6121C">
        <w:rPr>
          <w:rFonts w:ascii="Segoe UI" w:eastAsia="Times New Roman" w:hAnsi="Segoe UI" w:cs="Segoe UI"/>
          <w:color w:val="000000"/>
          <w:sz w:val="18"/>
          <w:szCs w:val="18"/>
          <w:lang w:eastAsia="es-CO"/>
        </w:rPr>
        <w:t>dispone que en las liquidaciones privadas </w:t>
      </w:r>
      <w:r w:rsidRPr="00C6121C">
        <w:rPr>
          <w:rFonts w:ascii="Segoe UI" w:eastAsia="Times New Roman" w:hAnsi="Segoe UI" w:cs="Segoe UI"/>
          <w:i/>
          <w:iCs/>
          <w:color w:val="000000"/>
          <w:sz w:val="18"/>
          <w:szCs w:val="18"/>
          <w:lang w:eastAsia="es-CO"/>
        </w:rPr>
        <w:t>«los contribuyentes deducirán del total del impuesto sobre la renta y complementarios el valor del impuesto que les haya sido retenido», </w:t>
      </w:r>
      <w:r w:rsidRPr="00C6121C">
        <w:rPr>
          <w:rFonts w:ascii="Segoe UI" w:eastAsia="Times New Roman" w:hAnsi="Segoe UI" w:cs="Segoe UI"/>
          <w:color w:val="000000"/>
          <w:sz w:val="18"/>
          <w:szCs w:val="18"/>
          <w:lang w:eastAsia="es-CO"/>
        </w:rPr>
        <w:t>y que </w:t>
      </w:r>
      <w:r w:rsidRPr="00C6121C">
        <w:rPr>
          <w:rFonts w:ascii="Segoe UI" w:eastAsia="Times New Roman" w:hAnsi="Segoe UI" w:cs="Segoe UI"/>
          <w:i/>
          <w:iCs/>
          <w:color w:val="000000"/>
          <w:sz w:val="18"/>
          <w:szCs w:val="18"/>
          <w:lang w:eastAsia="es-CO"/>
        </w:rPr>
        <w:t>«La diferencia que resulte será pagada en la proporción y dentro de los términos ordinarios señalados para el pago de la liquidación privada».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w:t>
      </w:r>
      <w:hyperlink r:id="rId48" w:tooltip="Estatuto Tributario CETA" w:history="1">
        <w:r w:rsidRPr="00C6121C">
          <w:rPr>
            <w:rFonts w:ascii="Segoe UI" w:eastAsia="Times New Roman" w:hAnsi="Segoe UI" w:cs="Segoe UI"/>
            <w:color w:val="0089E1"/>
            <w:sz w:val="18"/>
            <w:szCs w:val="18"/>
            <w:lang w:eastAsia="es-CO"/>
          </w:rPr>
          <w:t>artículo 374</w:t>
        </w:r>
      </w:hyperlink>
      <w:r w:rsidRPr="00C6121C">
        <w:rPr>
          <w:rFonts w:ascii="Segoe UI" w:eastAsia="Times New Roman" w:hAnsi="Segoe UI" w:cs="Segoe UI"/>
          <w:color w:val="000000"/>
          <w:sz w:val="18"/>
          <w:szCs w:val="18"/>
          <w:lang w:eastAsia="es-CO"/>
        </w:rPr>
        <w:t> del mismo estatuto prevé que el impuesto retenido será acreditado a cada contribuyente en la liquidación del tributo </w:t>
      </w:r>
      <w:r w:rsidRPr="00C6121C">
        <w:rPr>
          <w:rFonts w:ascii="Segoe UI" w:eastAsia="Times New Roman" w:hAnsi="Segoe UI" w:cs="Segoe UI"/>
          <w:i/>
          <w:iCs/>
          <w:color w:val="000000"/>
          <w:sz w:val="18"/>
          <w:szCs w:val="18"/>
          <w:lang w:eastAsia="es-CO"/>
        </w:rPr>
        <w:t>«con base en el certificado que le haya expedido el retenedor».</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Al respecto, frente a conceptos de retención diferentes a los originados relaciones laborales, el parágrafo del </w:t>
      </w:r>
      <w:hyperlink r:id="rId49" w:tooltip="Estatuto Tributario CETA" w:history="1">
        <w:r w:rsidRPr="00C6121C">
          <w:rPr>
            <w:rFonts w:ascii="Segoe UI" w:eastAsia="Times New Roman" w:hAnsi="Segoe UI" w:cs="Segoe UI"/>
            <w:color w:val="0089E1"/>
            <w:sz w:val="18"/>
            <w:szCs w:val="18"/>
            <w:lang w:eastAsia="es-CO"/>
          </w:rPr>
          <w:t>artículo 381</w:t>
        </w:r>
      </w:hyperlink>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ibídem</w:t>
      </w:r>
      <w:r w:rsidRPr="00C6121C">
        <w:rPr>
          <w:rFonts w:ascii="Segoe UI" w:eastAsia="Times New Roman" w:hAnsi="Segoe UI" w:cs="Segoe UI"/>
          <w:color w:val="000000"/>
          <w:sz w:val="18"/>
          <w:szCs w:val="18"/>
          <w:lang w:eastAsia="es-CO"/>
        </w:rPr>
        <w:t> establece que el agente de retención debe expedir un certificado anual, aunque el beneficiario del pago puede solicitar un certificado por cada operación sometida a retención, y que ante la falta de expedición de dicho certificado, se puede sustituir </w:t>
      </w:r>
      <w:r w:rsidRPr="00C6121C">
        <w:rPr>
          <w:rFonts w:ascii="Segoe UI" w:eastAsia="Times New Roman" w:hAnsi="Segoe UI" w:cs="Segoe UI"/>
          <w:i/>
          <w:iCs/>
          <w:color w:val="000000"/>
          <w:sz w:val="18"/>
          <w:szCs w:val="18"/>
          <w:lang w:eastAsia="es-CO"/>
        </w:rPr>
        <w:t>«por el original, copia o fotocopia auténtica de la factura o documento donde conste el pago, siempre y cuando aparezcan identificados los conceptos antes señalados</w:t>
      </w:r>
      <w:bookmarkStart w:id="36" w:name="_ftnref37"/>
      <w:r w:rsidRPr="00C6121C">
        <w:rPr>
          <w:rFonts w:ascii="Segoe UI" w:eastAsia="Times New Roman" w:hAnsi="Segoe UI" w:cs="Segoe UI"/>
          <w:i/>
          <w:iCs/>
          <w:color w:val="000000"/>
          <w:sz w:val="18"/>
          <w:szCs w:val="18"/>
          <w:lang w:eastAsia="es-CO"/>
        </w:rPr>
        <w:fldChar w:fldCharType="begin"/>
      </w:r>
      <w:r w:rsidRPr="00C6121C">
        <w:rPr>
          <w:rFonts w:ascii="Segoe UI" w:eastAsia="Times New Roman" w:hAnsi="Segoe UI" w:cs="Segoe UI"/>
          <w:i/>
          <w:iCs/>
          <w:color w:val="000000"/>
          <w:sz w:val="18"/>
          <w:szCs w:val="18"/>
          <w:lang w:eastAsia="es-CO"/>
        </w:rPr>
        <w:instrText xml:space="preserve"> HYPERLINK "https://www.ceta.org.co/html/vista_de_un_documento.asp?DocumentoID=36133" \l "_ftn37" \o "" </w:instrText>
      </w:r>
      <w:r w:rsidRPr="00C6121C">
        <w:rPr>
          <w:rFonts w:ascii="Segoe UI" w:eastAsia="Times New Roman" w:hAnsi="Segoe UI" w:cs="Segoe UI"/>
          <w:i/>
          <w:iCs/>
          <w:color w:val="000000"/>
          <w:sz w:val="18"/>
          <w:szCs w:val="18"/>
          <w:lang w:eastAsia="es-CO"/>
        </w:rPr>
        <w:fldChar w:fldCharType="separate"/>
      </w:r>
      <w:r w:rsidRPr="00C6121C">
        <w:rPr>
          <w:rFonts w:ascii="Segoe UI" w:eastAsia="Times New Roman" w:hAnsi="Segoe UI" w:cs="Segoe UI"/>
          <w:b/>
          <w:bCs/>
          <w:i/>
          <w:iCs/>
          <w:color w:val="0089E1"/>
          <w:sz w:val="22"/>
          <w:lang w:eastAsia="es-CO"/>
        </w:rPr>
        <w:t>[37]</w:t>
      </w:r>
      <w:r w:rsidRPr="00C6121C">
        <w:rPr>
          <w:rFonts w:ascii="Segoe UI" w:eastAsia="Times New Roman" w:hAnsi="Segoe UI" w:cs="Segoe UI"/>
          <w:i/>
          <w:iCs/>
          <w:color w:val="000000"/>
          <w:sz w:val="18"/>
          <w:szCs w:val="18"/>
          <w:lang w:eastAsia="es-CO"/>
        </w:rPr>
        <w:fldChar w:fldCharType="end"/>
      </w:r>
      <w:bookmarkEnd w:id="36"/>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consecuencia, </w:t>
      </w:r>
      <w:r w:rsidRPr="00C6121C">
        <w:rPr>
          <w:rFonts w:ascii="Segoe UI" w:eastAsia="Times New Roman" w:hAnsi="Segoe UI" w:cs="Segoe UI"/>
          <w:i/>
          <w:iCs/>
          <w:color w:val="000000"/>
          <w:sz w:val="18"/>
          <w:szCs w:val="18"/>
          <w:lang w:eastAsia="es-CO"/>
        </w:rPr>
        <w:t>«si bien el certificado de retención en la fuente es la prueba especial para el reconocimiento de las retenciones, no es la prueba única para tal propósito, toda vez que el legislador ha previsto su sustitución mediante otros documentos, pero respecto de los cuales se deben cumplir unos requisitos mínimos</w:t>
      </w:r>
      <w:bookmarkStart w:id="37" w:name="_ftnref38"/>
      <w:r w:rsidRPr="00C6121C">
        <w:rPr>
          <w:rFonts w:ascii="Segoe UI" w:eastAsia="Times New Roman" w:hAnsi="Segoe UI" w:cs="Segoe UI"/>
          <w:i/>
          <w:iCs/>
          <w:color w:val="000000"/>
          <w:sz w:val="18"/>
          <w:szCs w:val="18"/>
          <w:lang w:eastAsia="es-CO"/>
        </w:rPr>
        <w:fldChar w:fldCharType="begin"/>
      </w:r>
      <w:r w:rsidRPr="00C6121C">
        <w:rPr>
          <w:rFonts w:ascii="Segoe UI" w:eastAsia="Times New Roman" w:hAnsi="Segoe UI" w:cs="Segoe UI"/>
          <w:i/>
          <w:iCs/>
          <w:color w:val="000000"/>
          <w:sz w:val="18"/>
          <w:szCs w:val="18"/>
          <w:lang w:eastAsia="es-CO"/>
        </w:rPr>
        <w:instrText xml:space="preserve"> HYPERLINK "https://www.ceta.org.co/html/vista_de_un_documento.asp?DocumentoID=36133" \l "_ftn38" \o "" </w:instrText>
      </w:r>
      <w:r w:rsidRPr="00C6121C">
        <w:rPr>
          <w:rFonts w:ascii="Segoe UI" w:eastAsia="Times New Roman" w:hAnsi="Segoe UI" w:cs="Segoe UI"/>
          <w:i/>
          <w:iCs/>
          <w:color w:val="000000"/>
          <w:sz w:val="18"/>
          <w:szCs w:val="18"/>
          <w:lang w:eastAsia="es-CO"/>
        </w:rPr>
        <w:fldChar w:fldCharType="separate"/>
      </w:r>
      <w:r w:rsidRPr="00C6121C">
        <w:rPr>
          <w:rFonts w:ascii="Segoe UI" w:eastAsia="Times New Roman" w:hAnsi="Segoe UI" w:cs="Segoe UI"/>
          <w:b/>
          <w:bCs/>
          <w:i/>
          <w:iCs/>
          <w:color w:val="0089E1"/>
          <w:sz w:val="22"/>
          <w:lang w:eastAsia="es-CO"/>
        </w:rPr>
        <w:t>[38]</w:t>
      </w:r>
      <w:r w:rsidRPr="00C6121C">
        <w:rPr>
          <w:rFonts w:ascii="Segoe UI" w:eastAsia="Times New Roman" w:hAnsi="Segoe UI" w:cs="Segoe UI"/>
          <w:i/>
          <w:iCs/>
          <w:color w:val="000000"/>
          <w:sz w:val="18"/>
          <w:szCs w:val="18"/>
          <w:lang w:eastAsia="es-CO"/>
        </w:rPr>
        <w:fldChar w:fldCharType="end"/>
      </w:r>
      <w:bookmarkEnd w:id="37"/>
      <w:r w:rsidRPr="00C6121C">
        <w:rPr>
          <w:rFonts w:ascii="Segoe UI" w:eastAsia="Times New Roman" w:hAnsi="Segoe UI" w:cs="Segoe UI"/>
          <w:i/>
          <w:iCs/>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Ahora bien, en relación con los conceptos cuestionados en los actos administrativos demandados, la contribuyente presentó la siguiente información con el recurso de reconsideración</w:t>
      </w:r>
      <w:bookmarkStart w:id="38" w:name="_ftnref39"/>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"_ftn39"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[39]</w:t>
      </w:r>
      <w:r w:rsidRPr="00C6121C">
        <w:rPr>
          <w:rFonts w:ascii="Segoe UI" w:eastAsia="Times New Roman" w:hAnsi="Segoe UI" w:cs="Segoe UI"/>
          <w:color w:val="000000"/>
          <w:sz w:val="18"/>
          <w:szCs w:val="18"/>
          <w:lang w:eastAsia="es-CO"/>
        </w:rPr>
        <w:fldChar w:fldCharType="end"/>
      </w:r>
      <w:bookmarkEnd w:id="38"/>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Comprobantes compras de enero de 2001, junto con las siguientes facturas del mismo período, que fueron expedidas a nombre del contribuyente y de la sociedad DIPARCO LTDA</w:t>
      </w:r>
      <w:bookmarkStart w:id="39" w:name="_ftnref40"/>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"_ftn40"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[40]</w:t>
      </w:r>
      <w:r w:rsidRPr="00C6121C">
        <w:rPr>
          <w:rFonts w:ascii="Segoe UI" w:eastAsia="Times New Roman" w:hAnsi="Segoe UI" w:cs="Segoe UI"/>
          <w:color w:val="000000"/>
          <w:sz w:val="18"/>
          <w:szCs w:val="18"/>
          <w:lang w:eastAsia="es-CO"/>
        </w:rPr>
        <w:fldChar w:fldCharType="end"/>
      </w:r>
      <w:bookmarkEnd w:id="39"/>
      <w:r w:rsidRPr="00C6121C">
        <w:rPr>
          <w:rFonts w:ascii="Segoe UI" w:eastAsia="Times New Roman" w:hAnsi="Segoe UI" w:cs="Segoe UI"/>
          <w:color w:val="000000"/>
          <w:sz w:val="18"/>
          <w:szCs w:val="18"/>
          <w:lang w:eastAsia="es-CO"/>
        </w:rPr>
        <w:t>: 1289, 0828, 0671088, 3423, 31574, 3707, 0943, 0900, 2273, 11713, 31358, 1157, 30629, 18381, 18348, 18441, 18466, 15520, 18157, 18810, 30919, 30795, 31195, 2367, 2423, 100074799, 31-030881, 31-030864, 31-030775, 31-030582, 31-030466, 111649 y 31-030582.</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Comprobantes de compras febrero de 2001, junto con las siguientes facturas del mismo período, que fueron expedidas a nombre del contribuyente y de la sociedad DIPARCO LTDA</w:t>
      </w:r>
      <w:bookmarkStart w:id="40" w:name="_ftnref4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[41]</w:t>
      </w:r>
      <w:r w:rsidRPr="00C6121C">
        <w:rPr>
          <w:rFonts w:ascii="Segoe UI" w:eastAsia="Times New Roman" w:hAnsi="Segoe UI" w:cs="Segoe UI"/>
          <w:color w:val="000000"/>
          <w:sz w:val="18"/>
          <w:szCs w:val="18"/>
          <w:lang w:eastAsia="es-CO"/>
        </w:rPr>
        <w:fldChar w:fldCharType="end"/>
      </w:r>
      <w:bookmarkEnd w:id="40"/>
      <w:r w:rsidRPr="00C6121C">
        <w:rPr>
          <w:rFonts w:ascii="Segoe UI" w:eastAsia="Times New Roman" w:hAnsi="Segoe UI" w:cs="Segoe UI"/>
          <w:color w:val="000000"/>
          <w:sz w:val="18"/>
          <w:szCs w:val="18"/>
          <w:lang w:eastAsia="es-CO"/>
        </w:rPr>
        <w:t>: 0101, 0102, 087854, 31-031273, 31-031272, 31-031403, 31-031404, 31-031466, 31-031467, 31-031754, 31-031653, 1994, 19010, 19024, 19063, 19029, 19080, 19403, 19652, 33402, 1497, 1502, 1515, 1530, 1524, 0143, 0191, 0228, 4147, 2024, 2002, 4830, 2457, 2305, 0190, 1695, 32052, 5-3888563, 2903, 2778, 4319, 4294, 19646, 2438, 13892, 126605, 126603, 23122, 13889, 13619, 4110, 4189, 9421776, 9421774, 9421775, 9421773, 9421772, 31-031870, 314-031789, 31-731753, 40518, 111464 y 0143.</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Comprobantes de compras marzo de 2001, junto con las siguientes facturas del mismo período, que fueron expedidas a nombre del contribuyente y de DIPARCO LTDA.</w:t>
      </w:r>
      <w:bookmarkStart w:id="41" w:name="_ftnref4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[42]</w:t>
      </w:r>
      <w:r w:rsidRPr="00C6121C">
        <w:rPr>
          <w:rFonts w:ascii="Segoe UI" w:eastAsia="Times New Roman" w:hAnsi="Segoe UI" w:cs="Segoe UI"/>
          <w:color w:val="000000"/>
          <w:sz w:val="18"/>
          <w:szCs w:val="18"/>
          <w:lang w:eastAsia="es-CO"/>
        </w:rPr>
        <w:fldChar w:fldCharType="end"/>
      </w:r>
      <w:bookmarkEnd w:id="41"/>
      <w:r w:rsidRPr="00C6121C">
        <w:rPr>
          <w:rFonts w:ascii="Segoe UI" w:eastAsia="Times New Roman" w:hAnsi="Segoe UI" w:cs="Segoe UI"/>
          <w:color w:val="000000"/>
          <w:sz w:val="18"/>
          <w:szCs w:val="18"/>
          <w:lang w:eastAsia="es-CO"/>
        </w:rPr>
        <w:t>: 0108, 102053, 3160, 1531, 1394, 1542, 1551, 1566, 1559, 1604, 1657, 1670, 1707, 1695, 1749, 1741, 1685, 0339, 1728, 1761, 1588, 1607, 1621, 1632, 2183, 19970, 20286, 20401, 19866, 013922, 010128, 123318, 2373, 31-032367, 31-032637, 31-032638 Y 40721.</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Declaraciones de retención en la fuente de los períodos 1 a 4 del año 2001</w:t>
      </w:r>
      <w:bookmarkStart w:id="42" w:name="_ftnref43"/>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"_ftn43"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[43]</w:t>
      </w:r>
      <w:r w:rsidRPr="00C6121C">
        <w:rPr>
          <w:rFonts w:ascii="Segoe UI" w:eastAsia="Times New Roman" w:hAnsi="Segoe UI" w:cs="Segoe UI"/>
          <w:color w:val="000000"/>
          <w:sz w:val="18"/>
          <w:szCs w:val="18"/>
          <w:lang w:eastAsia="es-CO"/>
        </w:rPr>
        <w:fldChar w:fldCharType="end"/>
      </w:r>
      <w:bookmarkEnd w:id="42"/>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Comprobantes de ventas de los meses de enero a abril de 2001</w:t>
      </w:r>
      <w:bookmarkStart w:id="43" w:name="_ftnref44"/>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"_ftn44"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[44]</w:t>
      </w:r>
      <w:r w:rsidRPr="00C6121C">
        <w:rPr>
          <w:rFonts w:ascii="Segoe UI" w:eastAsia="Times New Roman" w:hAnsi="Segoe UI" w:cs="Segoe UI"/>
          <w:color w:val="000000"/>
          <w:sz w:val="18"/>
          <w:szCs w:val="18"/>
          <w:lang w:eastAsia="es-CO"/>
        </w:rPr>
        <w:fldChar w:fldCharType="end"/>
      </w:r>
      <w:bookmarkEnd w:id="43"/>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Declaraciones del impuesto sobre las ventas de los períodos 1 al 3 de 2001</w:t>
      </w:r>
      <w:bookmarkStart w:id="44" w:name="_ftnref45"/>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"_ftn45"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[45]</w:t>
      </w:r>
      <w:r w:rsidRPr="00C6121C">
        <w:rPr>
          <w:rFonts w:ascii="Segoe UI" w:eastAsia="Times New Roman" w:hAnsi="Segoe UI" w:cs="Segoe UI"/>
          <w:color w:val="000000"/>
          <w:sz w:val="18"/>
          <w:szCs w:val="18"/>
          <w:lang w:eastAsia="es-CO"/>
        </w:rPr>
        <w:fldChar w:fldCharType="end"/>
      </w:r>
      <w:bookmarkEnd w:id="44"/>
      <w:r w:rsidRPr="00C6121C">
        <w:rPr>
          <w:rFonts w:ascii="Segoe UI" w:eastAsia="Times New Roman" w:hAnsi="Segoe UI" w:cs="Segoe UI"/>
          <w:color w:val="000000"/>
          <w:sz w:val="18"/>
          <w:szCs w:val="18"/>
          <w:lang w:eastAsia="es-CO"/>
        </w:rPr>
        <w:t> y de los demás períodos de dicho año registradas en cero.</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Solicitud y cancelación del registro de ICA y de facturación de IVA</w:t>
      </w:r>
      <w:bookmarkStart w:id="45" w:name="_ftnref46"/>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"_ftn46"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[46]</w:t>
      </w:r>
      <w:r w:rsidRPr="00C6121C">
        <w:rPr>
          <w:rFonts w:ascii="Segoe UI" w:eastAsia="Times New Roman" w:hAnsi="Segoe UI" w:cs="Segoe UI"/>
          <w:color w:val="000000"/>
          <w:sz w:val="18"/>
          <w:szCs w:val="18"/>
          <w:lang w:eastAsia="es-CO"/>
        </w:rPr>
        <w:fldChar w:fldCharType="end"/>
      </w:r>
      <w:bookmarkEnd w:id="45"/>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ind w:left="450" w:hanging="270"/>
        <w:jc w:val="both"/>
        <w:rPr>
          <w:rFonts w:ascii="Arial" w:eastAsia="Times New Roman" w:hAnsi="Arial" w:cs="Arial"/>
          <w:color w:val="000000"/>
          <w:sz w:val="18"/>
          <w:szCs w:val="18"/>
          <w:lang w:eastAsia="es-CO"/>
        </w:rPr>
      </w:pPr>
      <w:r w:rsidRPr="00C6121C">
        <w:rPr>
          <w:rFonts w:ascii="Symbol" w:eastAsia="Times New Roman" w:hAnsi="Symbol" w:cs="Arial"/>
          <w:color w:val="000000"/>
          <w:sz w:val="18"/>
          <w:szCs w:val="18"/>
          <w:lang w:eastAsia="es-CO"/>
        </w:rPr>
        <w:t></w:t>
      </w:r>
      <w:r w:rsidRPr="00C6121C">
        <w:rPr>
          <w:rFonts w:eastAsia="Times New Roman" w:cs="Times New Roman"/>
          <w:color w:val="000000"/>
          <w:sz w:val="14"/>
          <w:szCs w:val="14"/>
          <w:lang w:eastAsia="es-CO"/>
        </w:rPr>
        <w:t>      </w:t>
      </w:r>
      <w:r w:rsidRPr="00C6121C">
        <w:rPr>
          <w:rFonts w:ascii="Segoe UI" w:eastAsia="Times New Roman" w:hAnsi="Segoe UI" w:cs="Segoe UI"/>
          <w:color w:val="000000"/>
          <w:sz w:val="18"/>
          <w:szCs w:val="18"/>
          <w:lang w:eastAsia="es-CO"/>
        </w:rPr>
        <w:t>Anexos al balance a 31 de diciembre de 2001</w:t>
      </w:r>
      <w:bookmarkStart w:id="46" w:name="_ftnref47"/>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"_ftn47"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[47]</w:t>
      </w:r>
      <w:r w:rsidRPr="00C6121C">
        <w:rPr>
          <w:rFonts w:ascii="Segoe UI" w:eastAsia="Times New Roman" w:hAnsi="Segoe UI" w:cs="Segoe UI"/>
          <w:color w:val="000000"/>
          <w:sz w:val="18"/>
          <w:szCs w:val="18"/>
          <w:lang w:eastAsia="es-CO"/>
        </w:rPr>
        <w:fldChar w:fldCharType="end"/>
      </w:r>
      <w:bookmarkEnd w:id="46"/>
      <w:r w:rsidRPr="00C6121C">
        <w:rPr>
          <w:rFonts w:ascii="Segoe UI" w:eastAsia="Times New Roman" w:hAnsi="Segoe UI" w:cs="Segoe UI"/>
          <w:color w:val="000000"/>
          <w:sz w:val="18"/>
          <w:szCs w:val="18"/>
          <w:lang w:eastAsia="es-CO"/>
        </w:rPr>
        <w:t>, conciliación entre la renta contable y la renta fiscal</w:t>
      </w:r>
      <w:bookmarkStart w:id="47" w:name="_ftnref48"/>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"_ftn48"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[48]</w:t>
      </w:r>
      <w:r w:rsidRPr="00C6121C">
        <w:rPr>
          <w:rFonts w:ascii="Segoe UI" w:eastAsia="Times New Roman" w:hAnsi="Segoe UI" w:cs="Segoe UI"/>
          <w:color w:val="000000"/>
          <w:sz w:val="18"/>
          <w:szCs w:val="18"/>
          <w:lang w:eastAsia="es-CO"/>
        </w:rPr>
        <w:fldChar w:fldCharType="end"/>
      </w:r>
      <w:bookmarkEnd w:id="47"/>
      <w:r w:rsidRPr="00C6121C">
        <w:rPr>
          <w:rFonts w:ascii="Segoe UI" w:eastAsia="Times New Roman" w:hAnsi="Segoe UI" w:cs="Segoe UI"/>
          <w:color w:val="000000"/>
          <w:sz w:val="18"/>
          <w:szCs w:val="18"/>
          <w:lang w:eastAsia="es-CO"/>
        </w:rPr>
        <w:t>, conciliación patrimonial</w:t>
      </w:r>
      <w:bookmarkStart w:id="48" w:name="_ftnref49"/>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"_ftn49"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[49]</w:t>
      </w:r>
      <w:r w:rsidRPr="00C6121C">
        <w:rPr>
          <w:rFonts w:ascii="Segoe UI" w:eastAsia="Times New Roman" w:hAnsi="Segoe UI" w:cs="Segoe UI"/>
          <w:color w:val="000000"/>
          <w:sz w:val="18"/>
          <w:szCs w:val="18"/>
          <w:lang w:eastAsia="es-CO"/>
        </w:rPr>
        <w:fldChar w:fldCharType="end"/>
      </w:r>
      <w:bookmarkEnd w:id="48"/>
      <w:r w:rsidRPr="00C6121C">
        <w:rPr>
          <w:rFonts w:ascii="Segoe UI" w:eastAsia="Times New Roman" w:hAnsi="Segoe UI" w:cs="Segoe UI"/>
          <w:color w:val="000000"/>
          <w:sz w:val="18"/>
          <w:szCs w:val="18"/>
          <w:lang w:eastAsia="es-CO"/>
        </w:rPr>
        <w:t>, planillas de pagos a la seguridad social y comprobante de egreso 1450</w:t>
      </w:r>
      <w:bookmarkStart w:id="49" w:name="_ftnref50"/>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"_ftn50"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[50]</w:t>
      </w:r>
      <w:r w:rsidRPr="00C6121C">
        <w:rPr>
          <w:rFonts w:ascii="Segoe UI" w:eastAsia="Times New Roman" w:hAnsi="Segoe UI" w:cs="Segoe UI"/>
          <w:color w:val="000000"/>
          <w:sz w:val="18"/>
          <w:szCs w:val="18"/>
          <w:lang w:eastAsia="es-CO"/>
        </w:rPr>
        <w:fldChar w:fldCharType="end"/>
      </w:r>
      <w:bookmarkEnd w:id="49"/>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2"/>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Si bien el </w:t>
      </w:r>
      <w:hyperlink r:id="rId50"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no impide que el contribuyente presente los documentos soporte de costos y deducciones con posterioridad al momento en que le fueron exigidos, ni exime a la autoridad fiscal de valorarlos para establecer su procedencia, la Sala advierte que los allegados por el actor con el recurso de reconsideración no acreditan plenamente los conceptos cuestionados.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De los hechos del proceso se observa que la autoridad fiscal, en ejercicio de las facultades de fiscalización e investigación, intentó verificar la realidad de los datos declarados mediante inspección contable, sin que fuera posible ubicar al contribuyente en las direcciones informadas</w:t>
      </w:r>
      <w:bookmarkStart w:id="50" w:name="_ftnref51"/>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"_ftn51"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[51]</w:t>
      </w:r>
      <w:r w:rsidRPr="00C6121C">
        <w:rPr>
          <w:rFonts w:ascii="Segoe UI" w:eastAsia="Times New Roman" w:hAnsi="Segoe UI" w:cs="Segoe UI"/>
          <w:color w:val="000000"/>
          <w:sz w:val="18"/>
          <w:szCs w:val="18"/>
          <w:lang w:eastAsia="es-CO"/>
        </w:rPr>
        <w:fldChar w:fldCharType="end"/>
      </w:r>
      <w:bookmarkEnd w:id="50"/>
      <w:r w:rsidRPr="00C6121C">
        <w:rPr>
          <w:rFonts w:ascii="Segoe UI" w:eastAsia="Times New Roman" w:hAnsi="Segoe UI" w:cs="Segoe UI"/>
          <w:color w:val="000000"/>
          <w:sz w:val="18"/>
          <w:szCs w:val="18"/>
          <w:lang w:eastAsia="es-CO"/>
        </w:rPr>
        <w:t>, y sin que respondiera el requerimiento especial, con lo cual la carga de demostrar los pasivos, costos, deducciones y retenciones cuestionadas se trasladó al demandante.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Así pues, al verificar las pruebas aportadas con el recurso de reconsideración, (certificado de Cámara de Comercio, cancelación del registro de ICA y de facturación de IVA y demás declaraciones allegadas), se evidencia que a partir del 20 del de febrero de 2001 el contribuyente canceló su matrícula mercantil y aportó </w:t>
      </w:r>
      <w:r w:rsidRPr="00C6121C">
        <w:rPr>
          <w:rFonts w:ascii="Segoe UI" w:eastAsia="Times New Roman" w:hAnsi="Segoe UI" w:cs="Segoe UI"/>
          <w:i/>
          <w:iCs/>
          <w:color w:val="000000"/>
          <w:sz w:val="18"/>
          <w:szCs w:val="18"/>
          <w:lang w:eastAsia="es-CO"/>
        </w:rPr>
        <w:t>«a la constitución de la sociedad DIPARCO LTDA. (21-278897-3) el establecimiento de comercio DIPARCO».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Llama la atención de la Sala que las facturas allegadas como soporte de pasivos, costos, deducciones y retenciones de los meses de enero a marzo de 2001, esto es, antes y después de la citada cancelación del registro mercantil del actor, se expidieron a su nombre y al de la sociedad DIPARCO LTDA., pues con ello no se puede establecer si los conceptos facturados corresponden al actor, o a la empresa señalada.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Sala encuentra que el actor, quien estaba obligado a llevar contabilidad, tampoco soportó mediante con documentos idóneos con el lleno de las formalidades exigidas para la contabilidad, o mediante pruebas supletorias, los pasivos declarados, pues además de que no discriminó cuáles eran los documentos con los que pretendía soportar dichos pasivos, las facturas allegadas fueron expedidas a su nombre y al de la empresa DIPARCO LTDA.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Lo mismo ocurre con las retenciones declaradas, que no fueron justificadas mediante certificados de retención, o por </w:t>
      </w:r>
      <w:r w:rsidRPr="00C6121C">
        <w:rPr>
          <w:rFonts w:ascii="Segoe UI" w:eastAsia="Times New Roman" w:hAnsi="Segoe UI" w:cs="Segoe UI"/>
          <w:i/>
          <w:iCs/>
          <w:color w:val="000000"/>
          <w:sz w:val="18"/>
          <w:szCs w:val="18"/>
          <w:lang w:eastAsia="es-CO"/>
        </w:rPr>
        <w:t>«el original, copia o fotocopia auténtica de la factura o documento donde conste el pago, siempre y cuando aparezcan identificados los conceptos»</w:t>
      </w:r>
      <w:r w:rsidRPr="00C6121C">
        <w:rPr>
          <w:rFonts w:ascii="Segoe UI" w:eastAsia="Times New Roman" w:hAnsi="Segoe UI" w:cs="Segoe UI"/>
          <w:color w:val="000000"/>
          <w:sz w:val="18"/>
          <w:szCs w:val="18"/>
          <w:lang w:eastAsia="es-CO"/>
        </w:rPr>
        <w:t> señalados en el </w:t>
      </w:r>
      <w:hyperlink r:id="rId51" w:tooltip="Estatuto Tributario CETA" w:history="1">
        <w:r w:rsidRPr="00C6121C">
          <w:rPr>
            <w:rFonts w:ascii="Segoe UI" w:eastAsia="Times New Roman" w:hAnsi="Segoe UI" w:cs="Segoe UI"/>
            <w:color w:val="0089E1"/>
            <w:sz w:val="18"/>
            <w:szCs w:val="18"/>
            <w:lang w:eastAsia="es-CO"/>
          </w:rPr>
          <w:t>artículo 381</w:t>
        </w:r>
      </w:hyperlink>
      <w:r w:rsidRPr="00C6121C">
        <w:rPr>
          <w:rFonts w:ascii="Segoe UI" w:eastAsia="Times New Roman" w:hAnsi="Segoe UI" w:cs="Segoe UI"/>
          <w:color w:val="000000"/>
          <w:sz w:val="18"/>
          <w:szCs w:val="18"/>
          <w:lang w:eastAsia="es-CO"/>
        </w:rPr>
        <w:t> del Estatuto Tributario.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Cabe señalar que si bien el </w:t>
      </w:r>
      <w:hyperlink r:id="rId52"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establece que la contabilidad debe presentarse cuando la administración la exija y que la Sala ha expresado que lo anterior no impide su posterior presentación y valoración, en el caso, la suma declarada a título de retención ($1.695.000) tampoco aparece discriminada en los balances suministrados con el recurso de reconsideración, y las declaraciones de retención presentadas se refieren a los valores retenidos por el contribuyente, y no a los que le fueron retenidos.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esas condiciones, de la valoración de los documentos presentados por el demandante con el recurso de reconsideración, la Sala considera que no se demostraron los pasivos, costos, deducciones y retenciones declaradas, lo cual trae como consecuencia su desconocimiento.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Finalmente, en relación con la aplicación del </w:t>
      </w:r>
      <w:hyperlink r:id="rId53" w:tooltip="Estatuto Tributario CETA" w:history="1">
        <w:r w:rsidRPr="00C6121C">
          <w:rPr>
            <w:rFonts w:ascii="Segoe UI" w:eastAsia="Times New Roman" w:hAnsi="Segoe UI" w:cs="Segoe UI"/>
            <w:color w:val="0089E1"/>
            <w:sz w:val="18"/>
            <w:szCs w:val="18"/>
            <w:lang w:eastAsia="es-CO"/>
          </w:rPr>
          <w:t>artículo 82</w:t>
        </w:r>
      </w:hyperlink>
      <w:r w:rsidRPr="00C6121C">
        <w:rPr>
          <w:rFonts w:ascii="Segoe UI" w:eastAsia="Times New Roman" w:hAnsi="Segoe UI" w:cs="Segoe UI"/>
          <w:color w:val="000000"/>
          <w:sz w:val="18"/>
          <w:szCs w:val="18"/>
          <w:lang w:eastAsia="es-CO"/>
        </w:rPr>
        <w:t> del Estatuto Tributario, la Sala advierte que el actor no permitió que la autoridad fiscal verificara su contabilidad, y no «</w:t>
      </w:r>
      <w:r w:rsidRPr="00C6121C">
        <w:rPr>
          <w:rFonts w:ascii="Segoe UI" w:eastAsia="Times New Roman" w:hAnsi="Segoe UI" w:cs="Segoe UI"/>
          <w:i/>
          <w:iCs/>
          <w:color w:val="000000"/>
          <w:sz w:val="18"/>
          <w:szCs w:val="18"/>
          <w:lang w:eastAsia="es-CO"/>
        </w:rPr>
        <w:t>acreditó</w:t>
      </w:r>
      <w:r w:rsidRPr="00C6121C">
        <w:rPr>
          <w:rFonts w:ascii="Segoe UI" w:eastAsia="Times New Roman" w:hAnsi="Segoe UI" w:cs="Segoe UI"/>
          <w:color w:val="000000"/>
          <w:sz w:val="18"/>
          <w:szCs w:val="18"/>
          <w:lang w:eastAsia="es-CO"/>
        </w:rPr>
        <w:t> </w:t>
      </w:r>
      <w:r w:rsidRPr="00C6121C">
        <w:rPr>
          <w:rFonts w:ascii="Segoe UI" w:eastAsia="Times New Roman" w:hAnsi="Segoe UI" w:cs="Segoe UI"/>
          <w:i/>
          <w:iCs/>
          <w:color w:val="000000"/>
          <w:sz w:val="18"/>
          <w:szCs w:val="18"/>
          <w:lang w:eastAsia="es-CO"/>
        </w:rPr>
        <w:t>plenamente</w:t>
      </w:r>
      <w:r w:rsidRPr="00C6121C">
        <w:rPr>
          <w:rFonts w:ascii="Segoe UI" w:eastAsia="Times New Roman" w:hAnsi="Segoe UI" w:cs="Segoe UI"/>
          <w:color w:val="000000"/>
          <w:sz w:val="18"/>
          <w:szCs w:val="18"/>
          <w:lang w:eastAsia="es-CO"/>
        </w:rPr>
        <w:t>» la realidad de las operaciones constitutivas de costos como lo exige el </w:t>
      </w:r>
      <w:hyperlink r:id="rId54" w:tooltip="Estatuto Tributario CETA" w:history="1">
        <w:r w:rsidRPr="00C6121C">
          <w:rPr>
            <w:rFonts w:ascii="Segoe UI" w:eastAsia="Times New Roman" w:hAnsi="Segoe UI" w:cs="Segoe UI"/>
            <w:color w:val="0089E1"/>
            <w:sz w:val="18"/>
            <w:szCs w:val="18"/>
            <w:lang w:eastAsia="es-CO"/>
          </w:rPr>
          <w:t>artículo 781</w:t>
        </w:r>
      </w:hyperlink>
      <w:r w:rsidRPr="00C6121C">
        <w:rPr>
          <w:rFonts w:ascii="Segoe UI" w:eastAsia="Times New Roman" w:hAnsi="Segoe UI" w:cs="Segoe UI"/>
          <w:color w:val="000000"/>
          <w:sz w:val="18"/>
          <w:szCs w:val="18"/>
          <w:lang w:eastAsia="es-CO"/>
        </w:rPr>
        <w:t> del Estatuto Tributario, con lo cual no hay lugar a la aplicación del costo presunto, porque el citado artículo 82 </w:t>
      </w:r>
      <w:proofErr w:type="spellStart"/>
      <w:r w:rsidRPr="00C6121C">
        <w:rPr>
          <w:rFonts w:ascii="Segoe UI" w:eastAsia="Times New Roman" w:hAnsi="Segoe UI" w:cs="Segoe UI"/>
          <w:i/>
          <w:iCs/>
          <w:color w:val="000000"/>
          <w:sz w:val="18"/>
          <w:szCs w:val="18"/>
          <w:lang w:eastAsia="es-CO"/>
        </w:rPr>
        <w:t>ejusdem</w:t>
      </w:r>
      <w:proofErr w:type="spellEnd"/>
      <w:r w:rsidRPr="00C6121C">
        <w:rPr>
          <w:rFonts w:ascii="Segoe UI" w:eastAsia="Times New Roman" w:hAnsi="Segoe UI" w:cs="Segoe UI"/>
          <w:color w:val="000000"/>
          <w:sz w:val="18"/>
          <w:szCs w:val="18"/>
          <w:lang w:eastAsia="es-CO"/>
        </w:rPr>
        <w:t>, no incluye «</w:t>
      </w:r>
      <w:r w:rsidRPr="00C6121C">
        <w:rPr>
          <w:rFonts w:ascii="Segoe UI" w:eastAsia="Times New Roman" w:hAnsi="Segoe UI" w:cs="Segoe UI"/>
          <w:i/>
          <w:iCs/>
          <w:color w:val="000000"/>
          <w:sz w:val="18"/>
          <w:szCs w:val="18"/>
          <w:lang w:eastAsia="es-CO"/>
        </w:rPr>
        <w:t>la no comprobación</w:t>
      </w:r>
      <w:r w:rsidRPr="00C6121C">
        <w:rPr>
          <w:rFonts w:ascii="Segoe UI" w:eastAsia="Times New Roman" w:hAnsi="Segoe UI" w:cs="Segoe UI"/>
          <w:color w:val="000000"/>
          <w:sz w:val="18"/>
          <w:szCs w:val="18"/>
          <w:lang w:eastAsia="es-CO"/>
        </w:rPr>
        <w:t>» como presupuesto para su aplicación</w:t>
      </w:r>
      <w:bookmarkStart w:id="51" w:name="_ftnref52"/>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"_ftn52"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[52]</w:t>
      </w:r>
      <w:r w:rsidRPr="00C6121C">
        <w:rPr>
          <w:rFonts w:ascii="Segoe UI" w:eastAsia="Times New Roman" w:hAnsi="Segoe UI" w:cs="Segoe UI"/>
          <w:color w:val="000000"/>
          <w:sz w:val="18"/>
          <w:szCs w:val="18"/>
          <w:lang w:eastAsia="es-CO"/>
        </w:rPr>
        <w:fldChar w:fldCharType="end"/>
      </w:r>
      <w:bookmarkEnd w:id="51"/>
      <w:r w:rsidRPr="00C6121C">
        <w:rPr>
          <w:rFonts w:ascii="Segoe UI" w:eastAsia="Times New Roman" w:hAnsi="Segoe UI" w:cs="Segoe UI"/>
          <w:color w:val="000000"/>
          <w:sz w:val="18"/>
          <w:szCs w:val="18"/>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De otra parte, los actos administrativos demandados impusieron sanción por libros, aspecto que, al no haber sido objeto de discusión en la demanda, ni analizado en la sentencia, ni objeto de apelación, no será abordado por la Sala.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sz w:val="22"/>
          <w:lang w:eastAsia="es-CO"/>
        </w:rPr>
        <w:t>Sanción por inexactitud - Reiteración Jurisprudencial</w:t>
      </w:r>
      <w:bookmarkStart w:id="52" w:name="_ftnref53"/>
      <w:r w:rsidRPr="00C6121C">
        <w:rPr>
          <w:rFonts w:ascii="Segoe UI" w:eastAsia="Times New Roman" w:hAnsi="Segoe UI" w:cs="Segoe UI"/>
          <w:b/>
          <w:bCs/>
          <w:sz w:val="22"/>
          <w:lang w:eastAsia="es-CO"/>
        </w:rPr>
        <w:fldChar w:fldCharType="begin"/>
      </w:r>
      <w:r w:rsidRPr="00C6121C">
        <w:rPr>
          <w:rFonts w:ascii="Segoe UI" w:eastAsia="Times New Roman" w:hAnsi="Segoe UI" w:cs="Segoe UI"/>
          <w:b/>
          <w:bCs/>
          <w:sz w:val="22"/>
          <w:lang w:eastAsia="es-CO"/>
        </w:rPr>
        <w:instrText xml:space="preserve"> HYPERLINK "https://www.ceta.org.co/html/vista_de_un_documento.asp?DocumentoID=36133" \l "_ftn53" \o "" </w:instrText>
      </w:r>
      <w:r w:rsidRPr="00C6121C">
        <w:rPr>
          <w:rFonts w:ascii="Segoe UI" w:eastAsia="Times New Roman" w:hAnsi="Segoe UI" w:cs="Segoe UI"/>
          <w:b/>
          <w:bCs/>
          <w:sz w:val="22"/>
          <w:lang w:eastAsia="es-CO"/>
        </w:rPr>
        <w:fldChar w:fldCharType="separate"/>
      </w:r>
      <w:r w:rsidRPr="00C6121C">
        <w:rPr>
          <w:rFonts w:ascii="Segoe UI" w:eastAsia="Times New Roman" w:hAnsi="Segoe UI" w:cs="Segoe UI"/>
          <w:b/>
          <w:bCs/>
          <w:color w:val="0089E1"/>
          <w:sz w:val="22"/>
          <w:lang w:eastAsia="es-CO"/>
        </w:rPr>
        <w:t>[53]</w:t>
      </w:r>
      <w:r w:rsidRPr="00C6121C">
        <w:rPr>
          <w:rFonts w:ascii="Segoe UI" w:eastAsia="Times New Roman" w:hAnsi="Segoe UI" w:cs="Segoe UI"/>
          <w:b/>
          <w:bCs/>
          <w:sz w:val="22"/>
          <w:lang w:eastAsia="es-CO"/>
        </w:rPr>
        <w:fldChar w:fldCharType="end"/>
      </w:r>
      <w:bookmarkEnd w:id="52"/>
      <w:r w:rsidRPr="00C6121C">
        <w:rPr>
          <w:rFonts w:ascii="Segoe UI" w:eastAsia="Times New Roman" w:hAnsi="Segoe UI" w:cs="Segoe UI"/>
          <w:b/>
          <w:bCs/>
          <w:sz w:val="22"/>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sz w:val="22"/>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El </w:t>
      </w:r>
      <w:hyperlink r:id="rId55" w:tooltip="Estatuto Tributario CETA" w:history="1">
        <w:r w:rsidRPr="00C6121C">
          <w:rPr>
            <w:rFonts w:ascii="Segoe UI" w:eastAsia="Times New Roman" w:hAnsi="Segoe UI" w:cs="Segoe UI"/>
            <w:color w:val="0089E1"/>
            <w:sz w:val="18"/>
            <w:szCs w:val="18"/>
            <w:lang w:eastAsia="es-CO"/>
          </w:rPr>
          <w:t>artículo 647</w:t>
        </w:r>
      </w:hyperlink>
      <w:r w:rsidRPr="00C6121C">
        <w:rPr>
          <w:rFonts w:ascii="Segoe UI" w:eastAsia="Times New Roman" w:hAnsi="Segoe UI" w:cs="Segoe UI"/>
          <w:color w:val="000000"/>
          <w:sz w:val="18"/>
          <w:szCs w:val="18"/>
          <w:lang w:eastAsia="es-CO"/>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este caso, en la demanda se alegó que no se dieron los presupuestos previstos en el </w:t>
      </w:r>
      <w:hyperlink r:id="rId56" w:tooltip="Estatuto Tributario CETA" w:history="1">
        <w:r w:rsidRPr="00C6121C">
          <w:rPr>
            <w:rFonts w:ascii="Segoe UI" w:eastAsia="Times New Roman" w:hAnsi="Segoe UI" w:cs="Segoe UI"/>
            <w:color w:val="0089E1"/>
            <w:sz w:val="18"/>
            <w:szCs w:val="18"/>
            <w:lang w:eastAsia="es-CO"/>
          </w:rPr>
          <w:t>artículo 647</w:t>
        </w:r>
      </w:hyperlink>
      <w:r w:rsidRPr="00C6121C">
        <w:rPr>
          <w:rFonts w:ascii="Segoe UI" w:eastAsia="Times New Roman" w:hAnsi="Segoe UI" w:cs="Segoe UI"/>
          <w:color w:val="000000"/>
          <w:sz w:val="18"/>
          <w:szCs w:val="18"/>
          <w:lang w:eastAsia="es-CO"/>
        </w:rPr>
        <w:t> del Estatuto Tributario, porque la comprobación insuficiente de costos y deducciones no se puede confundir con la inexistencia de los mismos, pero la Sala considera que es procedente la sanción, porque el actor incluyó en su declaración datos equivocados de los cuales se derivó un menor valor a pagar, lo que constituye inexactitud sancionable.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Ahora bien, la Sala pone de presente que mediante el artículo 282 de la Ley 1819 de 2016</w:t>
      </w:r>
      <w:bookmarkStart w:id="53" w:name="_ftnref54"/>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"_ftn54"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[54]</w:t>
      </w:r>
      <w:r w:rsidRPr="00C6121C">
        <w:rPr>
          <w:rFonts w:ascii="Segoe UI" w:eastAsia="Times New Roman" w:hAnsi="Segoe UI" w:cs="Segoe UI"/>
          <w:color w:val="000000"/>
          <w:sz w:val="18"/>
          <w:szCs w:val="18"/>
          <w:lang w:eastAsia="es-CO"/>
        </w:rPr>
        <w:fldChar w:fldCharType="end"/>
      </w:r>
      <w:bookmarkEnd w:id="53"/>
      <w:r w:rsidRPr="00C6121C">
        <w:rPr>
          <w:rFonts w:ascii="Segoe UI" w:eastAsia="Times New Roman" w:hAnsi="Segoe UI" w:cs="Segoe UI"/>
          <w:color w:val="000000"/>
          <w:sz w:val="18"/>
          <w:szCs w:val="18"/>
          <w:lang w:eastAsia="es-CO"/>
        </w:rPr>
        <w:t>, que modificó el </w:t>
      </w:r>
      <w:hyperlink r:id="rId57" w:tooltip="Estatuto Tributario CETA" w:history="1">
        <w:r w:rsidRPr="00C6121C">
          <w:rPr>
            <w:rFonts w:ascii="Segoe UI" w:eastAsia="Times New Roman" w:hAnsi="Segoe UI" w:cs="Segoe UI"/>
            <w:color w:val="0089E1"/>
            <w:sz w:val="18"/>
            <w:szCs w:val="18"/>
            <w:lang w:eastAsia="es-CO"/>
          </w:rPr>
          <w:t>artículo 640</w:t>
        </w:r>
      </w:hyperlink>
      <w:r w:rsidRPr="00C6121C">
        <w:rPr>
          <w:rFonts w:ascii="Segoe UI" w:eastAsia="Times New Roman" w:hAnsi="Segoe UI" w:cs="Segoe UI"/>
          <w:color w:val="000000"/>
          <w:sz w:val="18"/>
          <w:szCs w:val="18"/>
          <w:lang w:eastAsia="es-CO"/>
        </w:rPr>
        <w:t> del Estatuto Tributario, se estableció en el parágrafo 5 que </w:t>
      </w:r>
      <w:r w:rsidRPr="00C6121C">
        <w:rPr>
          <w:rFonts w:ascii="Segoe UI" w:eastAsia="Times New Roman" w:hAnsi="Segoe UI" w:cs="Segoe UI"/>
          <w:i/>
          <w:iCs/>
          <w:color w:val="000000"/>
          <w:sz w:val="18"/>
          <w:szCs w:val="18"/>
          <w:lang w:eastAsia="es-CO"/>
        </w:rPr>
        <w:t>«el principio de favorabilidad aplicará para el régimen sancionatorio tributario, aun cuando la ley permisiva o favorable sea posterior».</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i/>
          <w:iCs/>
          <w:color w:val="000000"/>
          <w:sz w:val="18"/>
          <w:szCs w:val="18"/>
          <w:lang w:eastAsia="es-CO"/>
        </w:rPr>
        <w:t> </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Al respecto, se observa que la sanción por inexactitud consagrada en el </w:t>
      </w:r>
      <w:hyperlink r:id="rId58" w:tooltip="Estatuto Tributario CETA" w:history="1">
        <w:r w:rsidRPr="00C6121C">
          <w:rPr>
            <w:rFonts w:ascii="Segoe UI" w:eastAsia="Times New Roman" w:hAnsi="Segoe UI" w:cs="Segoe UI"/>
            <w:color w:val="0089E1"/>
            <w:sz w:val="18"/>
            <w:szCs w:val="18"/>
            <w:lang w:eastAsia="es-CO"/>
          </w:rPr>
          <w:t>artículo 647</w:t>
        </w:r>
      </w:hyperlink>
      <w:r w:rsidRPr="00C6121C">
        <w:rPr>
          <w:rFonts w:ascii="Segoe UI" w:eastAsia="Times New Roman" w:hAnsi="Segoe UI" w:cs="Segoe UI"/>
          <w:color w:val="000000"/>
          <w:sz w:val="18"/>
          <w:szCs w:val="18"/>
          <w:lang w:eastAsia="es-CO"/>
        </w:rPr>
        <w:t> del Estatuto Tributario</w:t>
      </w:r>
      <w:bookmarkStart w:id="54" w:name="_ftnref55"/>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"_ftn55"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[55]</w:t>
      </w:r>
      <w:r w:rsidRPr="00C6121C">
        <w:rPr>
          <w:rFonts w:ascii="Segoe UI" w:eastAsia="Times New Roman" w:hAnsi="Segoe UI" w:cs="Segoe UI"/>
          <w:color w:val="000000"/>
          <w:sz w:val="18"/>
          <w:szCs w:val="18"/>
          <w:lang w:eastAsia="es-CO"/>
        </w:rPr>
        <w:fldChar w:fldCharType="end"/>
      </w:r>
      <w:bookmarkEnd w:id="54"/>
      <w:r w:rsidRPr="00C6121C">
        <w:rPr>
          <w:rFonts w:ascii="Segoe UI" w:eastAsia="Times New Roman" w:hAnsi="Segoe UI" w:cs="Segoe UI"/>
          <w:color w:val="000000"/>
          <w:sz w:val="18"/>
          <w:szCs w:val="18"/>
          <w:lang w:eastAsia="es-CO"/>
        </w:rPr>
        <w:t>, fue modificada por la Ley 1819 de 2016</w:t>
      </w:r>
      <w:bookmarkStart w:id="55" w:name="_ftnref56"/>
      <w:r w:rsidRPr="00C6121C">
        <w:rPr>
          <w:rFonts w:ascii="Segoe UI" w:eastAsia="Times New Roman" w:hAnsi="Segoe UI" w:cs="Segoe UI"/>
          <w:color w:val="000000"/>
          <w:sz w:val="18"/>
          <w:szCs w:val="18"/>
          <w:lang w:eastAsia="es-CO"/>
        </w:rPr>
        <w:fldChar w:fldCharType="begin"/>
      </w:r>
      <w:r w:rsidRPr="00C6121C">
        <w:rPr>
          <w:rFonts w:ascii="Segoe UI" w:eastAsia="Times New Roman" w:hAnsi="Segoe UI" w:cs="Segoe UI"/>
          <w:color w:val="000000"/>
          <w:sz w:val="18"/>
          <w:szCs w:val="18"/>
          <w:lang w:eastAsia="es-CO"/>
        </w:rPr>
        <w:instrText xml:space="preserve"> HYPERLINK "https://www.ceta.org.co/html/vista_de_un_documento.asp?DocumentoID=36133" \l "_ftn56" \o "" </w:instrText>
      </w:r>
      <w:r w:rsidRPr="00C6121C">
        <w:rPr>
          <w:rFonts w:ascii="Segoe UI" w:eastAsia="Times New Roman" w:hAnsi="Segoe UI" w:cs="Segoe UI"/>
          <w:color w:val="000000"/>
          <w:sz w:val="18"/>
          <w:szCs w:val="18"/>
          <w:lang w:eastAsia="es-CO"/>
        </w:rPr>
        <w:fldChar w:fldCharType="separate"/>
      </w:r>
      <w:r w:rsidRPr="00C6121C">
        <w:rPr>
          <w:rFonts w:ascii="Segoe UI" w:eastAsia="Times New Roman" w:hAnsi="Segoe UI" w:cs="Segoe UI"/>
          <w:color w:val="0089E1"/>
          <w:sz w:val="22"/>
          <w:lang w:eastAsia="es-CO"/>
        </w:rPr>
        <w:t>[56]</w:t>
      </w:r>
      <w:r w:rsidRPr="00C6121C">
        <w:rPr>
          <w:rFonts w:ascii="Segoe UI" w:eastAsia="Times New Roman" w:hAnsi="Segoe UI" w:cs="Segoe UI"/>
          <w:color w:val="000000"/>
          <w:sz w:val="18"/>
          <w:szCs w:val="18"/>
          <w:lang w:eastAsia="es-CO"/>
        </w:rPr>
        <w:fldChar w:fldCharType="end"/>
      </w:r>
      <w:bookmarkEnd w:id="55"/>
      <w:r w:rsidRPr="00C6121C">
        <w:rPr>
          <w:rFonts w:ascii="Segoe UI" w:eastAsia="Times New Roman" w:hAnsi="Segoe UI" w:cs="Segoe UI"/>
          <w:color w:val="000000"/>
          <w:sz w:val="18"/>
          <w:szCs w:val="18"/>
          <w:lang w:eastAsia="es-CO"/>
        </w:rPr>
        <w:t>, al establecer una sanción más favorable, en tanto disminuyó el valor del 160% -establecido en la legislación anterior- al 100% de la diferencia entre el saldo a pagar o saldo a favor determinado en las liquidaciones oficiales y el declarado por el contribuyente.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textAlignment w:val="baseline"/>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En consideración a lo anterior, la Sala dará aplicación al principio de favorabilidad y establecerá el valor de la sanción por inexactitud en el 100% y no el 160% impuesto en los actos demandados.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Por lo tanto, la Sala revocará el numeral segundo de la sentencia apelada, en el sentido declarar la nulidad parcial de los actos demandados, solo en lo referente al valor de la sanción por inexactitud, conforme con lo expuesto en esta providencia.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consecuencia, la Sala procederá a practicar una nueva liquidación del impuesto de renta del año gravable 2001, para recalcular la sanción por inexactitud y el total saldo a pagar, así:</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574"/>
        <w:gridCol w:w="1468"/>
        <w:gridCol w:w="1381"/>
        <w:gridCol w:w="1475"/>
      </w:tblGrid>
      <w:tr w:rsidR="00C6121C" w:rsidRPr="00C6121C" w:rsidTr="00C6121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center"/>
              <w:rPr>
                <w:rFonts w:eastAsia="Times New Roman" w:cs="Times New Roman"/>
                <w:szCs w:val="24"/>
                <w:lang w:eastAsia="es-CO"/>
              </w:rPr>
            </w:pPr>
            <w:r w:rsidRPr="00C6121C">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center"/>
              <w:rPr>
                <w:rFonts w:eastAsia="Times New Roman" w:cs="Times New Roman"/>
                <w:szCs w:val="24"/>
                <w:lang w:eastAsia="es-CO"/>
              </w:rPr>
            </w:pPr>
            <w:r w:rsidRPr="00C6121C">
              <w:rPr>
                <w:rFonts w:ascii="Segoe UI" w:eastAsia="Times New Roman" w:hAnsi="Segoe UI" w:cs="Segoe UI"/>
                <w:b/>
                <w:bCs/>
                <w:sz w:val="20"/>
                <w:szCs w:val="20"/>
                <w:lang w:eastAsia="es-CO"/>
              </w:rPr>
              <w:t>LIQ PRIVADA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center"/>
              <w:rPr>
                <w:rFonts w:eastAsia="Times New Roman" w:cs="Times New Roman"/>
                <w:szCs w:val="24"/>
                <w:lang w:eastAsia="es-CO"/>
              </w:rPr>
            </w:pPr>
            <w:r w:rsidRPr="00C6121C">
              <w:rPr>
                <w:rFonts w:ascii="Segoe UI" w:eastAsia="Times New Roman" w:hAnsi="Segoe UI" w:cs="Segoe UI"/>
                <w:b/>
                <w:bCs/>
                <w:sz w:val="20"/>
                <w:szCs w:val="20"/>
                <w:lang w:eastAsia="es-CO"/>
              </w:rPr>
              <w:t>L.O.R.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center"/>
              <w:rPr>
                <w:rFonts w:eastAsia="Times New Roman" w:cs="Times New Roman"/>
                <w:szCs w:val="24"/>
                <w:lang w:eastAsia="es-CO"/>
              </w:rPr>
            </w:pPr>
            <w:r w:rsidRPr="00C6121C">
              <w:rPr>
                <w:rFonts w:ascii="Segoe UI" w:eastAsia="Times New Roman" w:hAnsi="Segoe UI" w:cs="Segoe UI"/>
                <w:b/>
                <w:bCs/>
                <w:sz w:val="20"/>
                <w:szCs w:val="20"/>
                <w:lang w:eastAsia="es-CO"/>
              </w:rPr>
              <w:t>LIQ. C. E.</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$579.000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$135.243.000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$135.243.000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Retención Honorarios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Retención Rendimientos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Retención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$1.680.000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retenciones año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$1.695.000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Saldo a favor año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$108.000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Anticipo por el año gravable siguiente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$51.748.000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$51.748.000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$218.555.000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$136.846.000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$405.438.000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b/>
                <w:bCs/>
                <w:sz w:val="20"/>
                <w:szCs w:val="20"/>
                <w:lang w:eastAsia="es-CO"/>
              </w:rPr>
              <w:t>$323.729.000</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$1.224.000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$0</w:t>
            </w:r>
          </w:p>
        </w:tc>
      </w:tr>
      <w:tr w:rsidR="00C6121C" w:rsidRPr="00C6121C" w:rsidTr="00C6121C">
        <w:trPr>
          <w:jc w:val="center"/>
        </w:trPr>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b/>
                <w:bCs/>
                <w:sz w:val="20"/>
                <w:szCs w:val="20"/>
                <w:lang w:eastAsia="es-CO"/>
              </w:rPr>
              <w:t> </w:t>
            </w:r>
          </w:p>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b/>
                <w:bCs/>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b/>
                <w:bCs/>
                <w:sz w:val="20"/>
                <w:szCs w:val="20"/>
                <w:lang w:eastAsia="es-CO"/>
              </w:rPr>
              <w:t>SANCIONES</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imp.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$135.243.000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 xml:space="preserve">Total saldo a favor </w:t>
            </w:r>
            <w:proofErr w:type="spellStart"/>
            <w:r w:rsidRPr="00C6121C">
              <w:rPr>
                <w:rFonts w:ascii="Segoe UI" w:eastAsia="Times New Roman" w:hAnsi="Segoe UI" w:cs="Segoe UI"/>
                <w:sz w:val="20"/>
                <w:szCs w:val="20"/>
                <w:lang w:eastAsia="es-CO"/>
              </w:rPr>
              <w:t>Liq</w:t>
            </w:r>
            <w:proofErr w:type="spellEnd"/>
            <w:r w:rsidRPr="00C6121C">
              <w:rPr>
                <w:rFonts w:ascii="Segoe UI" w:eastAsia="Times New Roman" w:hAnsi="Segoe UI" w:cs="Segoe UI"/>
                <w:sz w:val="20"/>
                <w:szCs w:val="20"/>
                <w:lang w:eastAsia="es-CO"/>
              </w:rPr>
              <w:t xml:space="preserve">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$1.224.000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Base 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$136.467.000</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Tarifa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100%</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$136.467.000</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 Sanción por libros contabilidad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$379.000</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r w:rsidR="00C6121C" w:rsidRPr="00C6121C" w:rsidTr="00C6121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both"/>
              <w:rPr>
                <w:rFonts w:eastAsia="Times New Roman" w:cs="Times New Roman"/>
                <w:szCs w:val="24"/>
                <w:lang w:eastAsia="es-CO"/>
              </w:rPr>
            </w:pPr>
            <w:r w:rsidRPr="00C6121C">
              <w:rPr>
                <w:rFonts w:ascii="Segoe UI" w:eastAsia="Times New Roman" w:hAnsi="Segoe UI" w:cs="Segoe UI"/>
                <w:sz w:val="20"/>
                <w:szCs w:val="20"/>
                <w:lang w:eastAsia="es-CO"/>
              </w:rPr>
              <w:t>Total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$136.846.000</w:t>
            </w: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C6121C" w:rsidRPr="00C6121C" w:rsidRDefault="00C6121C" w:rsidP="00C6121C">
            <w:pPr>
              <w:spacing w:after="0" w:line="240" w:lineRule="auto"/>
              <w:jc w:val="right"/>
              <w:rPr>
                <w:rFonts w:eastAsia="Times New Roman" w:cs="Times New Roman"/>
                <w:szCs w:val="24"/>
                <w:lang w:eastAsia="es-CO"/>
              </w:rPr>
            </w:pPr>
            <w:r w:rsidRPr="00C6121C">
              <w:rPr>
                <w:rFonts w:ascii="Segoe UI" w:eastAsia="Times New Roman" w:hAnsi="Segoe UI" w:cs="Segoe UI"/>
                <w:sz w:val="20"/>
                <w:szCs w:val="20"/>
                <w:lang w:eastAsia="es-CO"/>
              </w:rPr>
              <w:t> </w:t>
            </w:r>
          </w:p>
        </w:tc>
      </w:tr>
    </w:tbl>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Por las razones expuestas, la Sala revocará los numerales primero y segundo de la sentencia proferida por el Tribunal Administrativo de Antioquia y, en su lugar, declarará la nulidad parcial de los actos demandados.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A título de restablecimiento del derecho, fijará como total saldo a pagar a cargo de Julio Efrén Gómez Moreno, por concepto del impuesto sobre la renta del año gravable 2001, la suma de $323.729.000.</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center"/>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FALLA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PRIMERO: REVÓCANSE </w:t>
      </w:r>
      <w:r w:rsidRPr="00C6121C">
        <w:rPr>
          <w:rFonts w:ascii="Segoe UI" w:eastAsia="Times New Roman" w:hAnsi="Segoe UI" w:cs="Segoe UI"/>
          <w:color w:val="000000"/>
          <w:sz w:val="18"/>
          <w:szCs w:val="18"/>
          <w:lang w:eastAsia="es-CO"/>
        </w:rPr>
        <w:t>los numerales primero y segundo de la sentencia del 17 de septiembre de 2013, proferida por el Tribunal Administrativo de Antioquia. En su lugar, se dispone:</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i) ANÚLANSE</w:t>
      </w:r>
      <w:r w:rsidRPr="00C6121C">
        <w:rPr>
          <w:rFonts w:ascii="Segoe UI" w:eastAsia="Times New Roman" w:hAnsi="Segoe UI" w:cs="Segoe UI"/>
          <w:i/>
          <w:iCs/>
          <w:color w:val="000000"/>
          <w:sz w:val="18"/>
          <w:szCs w:val="18"/>
          <w:lang w:eastAsia="es-CO"/>
        </w:rPr>
        <w:t> parcialmente la Liquidación Oficial de Revisión 110642004000184 del 17 de diciembre de 2004, proferida por la División de Liquidación Tributaria de la Administración de Impuestos y Aduanas Nacionales de Medellín y su confirmatoria, la Resolución 110662006000002 del 31 de enero de 2006, emitida por División Jurídica Tributaria de la Administración de Impuestos y Aduanas Nacionales de Medellín.</w:t>
      </w:r>
    </w:p>
    <w:p w:rsidR="00C6121C" w:rsidRPr="00C6121C" w:rsidRDefault="00C6121C" w:rsidP="00C6121C">
      <w:pPr>
        <w:spacing w:after="0" w:line="240" w:lineRule="auto"/>
        <w:ind w:left="180"/>
        <w:jc w:val="both"/>
        <w:rPr>
          <w:rFonts w:ascii="Arial" w:eastAsia="Times New Roman" w:hAnsi="Arial" w:cs="Arial"/>
          <w:color w:val="000000"/>
          <w:sz w:val="18"/>
          <w:szCs w:val="18"/>
          <w:lang w:eastAsia="es-CO"/>
        </w:rPr>
      </w:pPr>
      <w:r w:rsidRPr="00C6121C">
        <w:rPr>
          <w:rFonts w:ascii="Segoe UI" w:eastAsia="Times New Roman" w:hAnsi="Segoe UI" w:cs="Segoe UI"/>
          <w:b/>
          <w:bCs/>
          <w:i/>
          <w:iCs/>
          <w:color w:val="000000"/>
          <w:sz w:val="18"/>
          <w:szCs w:val="18"/>
          <w:lang w:eastAsia="es-CO"/>
        </w:rPr>
        <w:t>ii) </w:t>
      </w:r>
      <w:r w:rsidRPr="00C6121C">
        <w:rPr>
          <w:rFonts w:ascii="Segoe UI" w:eastAsia="Times New Roman" w:hAnsi="Segoe UI" w:cs="Segoe UI"/>
          <w:i/>
          <w:iCs/>
          <w:color w:val="000000"/>
          <w:sz w:val="18"/>
          <w:szCs w:val="18"/>
          <w:lang w:eastAsia="es-CO"/>
        </w:rPr>
        <w:t>A título de restablecimiento del derecho, </w:t>
      </w:r>
      <w:r w:rsidRPr="00C6121C">
        <w:rPr>
          <w:rFonts w:ascii="Segoe UI" w:eastAsia="Times New Roman" w:hAnsi="Segoe UI" w:cs="Segoe UI"/>
          <w:b/>
          <w:bCs/>
          <w:i/>
          <w:iCs/>
          <w:color w:val="000000"/>
          <w:sz w:val="18"/>
          <w:szCs w:val="18"/>
          <w:lang w:eastAsia="es-CO"/>
        </w:rPr>
        <w:t>FÍJASE </w:t>
      </w:r>
      <w:r w:rsidRPr="00C6121C">
        <w:rPr>
          <w:rFonts w:ascii="Segoe UI" w:eastAsia="Times New Roman" w:hAnsi="Segoe UI" w:cs="Segoe UI"/>
          <w:i/>
          <w:iCs/>
          <w:color w:val="000000"/>
          <w:sz w:val="18"/>
          <w:szCs w:val="18"/>
          <w:lang w:eastAsia="es-CO"/>
        </w:rPr>
        <w:t>como total saldo a pagar a cargo de Julio Efrén Gómez Romero, por concepto del impuesto sobre la renta del año gravable 2001, la suma de TRESCIENTOS VEINTITRÉS MILLONES SETECIENTOS VEINTINUEVE MIL PESOS M/CTE ($323.729.000), de acuerdo con la liquidación contenida en la parte motiva de esta providencia.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SEGUNDO: </w:t>
      </w:r>
      <w:r w:rsidRPr="00C6121C">
        <w:rPr>
          <w:rFonts w:ascii="Segoe UI" w:eastAsia="Times New Roman" w:hAnsi="Segoe UI" w:cs="Segoe UI"/>
          <w:color w:val="000000"/>
          <w:sz w:val="18"/>
          <w:szCs w:val="18"/>
          <w:lang w:eastAsia="es-CO"/>
        </w:rPr>
        <w:t>En lo demás,</w:t>
      </w:r>
      <w:r w:rsidRPr="00C6121C">
        <w:rPr>
          <w:rFonts w:ascii="Segoe UI" w:eastAsia="Times New Roman" w:hAnsi="Segoe UI" w:cs="Segoe UI"/>
          <w:b/>
          <w:bCs/>
          <w:color w:val="000000"/>
          <w:sz w:val="18"/>
          <w:szCs w:val="18"/>
          <w:lang w:eastAsia="es-CO"/>
        </w:rPr>
        <w:t> CONFÍRMASE </w:t>
      </w:r>
      <w:r w:rsidRPr="00C6121C">
        <w:rPr>
          <w:rFonts w:ascii="Segoe UI" w:eastAsia="Times New Roman" w:hAnsi="Segoe UI" w:cs="Segoe UI"/>
          <w:color w:val="000000"/>
          <w:sz w:val="18"/>
          <w:szCs w:val="18"/>
          <w:lang w:eastAsia="es-CO"/>
        </w:rPr>
        <w:t>la sentencia apelada.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Cópiese, notifíquese, comuníquese y devuélvase el expediente al Tribunal de origen y cúmplase.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La presente providencia se aprobó en la sesión de la fecha.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lastRenderedPageBreak/>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JULIO ROBERTO PIZA RODRÍGUEZ</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18"/>
          <w:szCs w:val="18"/>
          <w:lang w:eastAsia="es-CO"/>
        </w:rPr>
        <w:t>Presidente de la Sección</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MILTON CHAVES GARCÍA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b/>
          <w:bCs/>
          <w:color w:val="000000"/>
          <w:sz w:val="18"/>
          <w:szCs w:val="18"/>
          <w:lang w:eastAsia="es-CO"/>
        </w:rPr>
        <w:t xml:space="preserve">JORGE OCTAVIO RAMÍREZ </w:t>
      </w:r>
      <w:proofErr w:type="spellStart"/>
      <w:r w:rsidRPr="00C6121C">
        <w:rPr>
          <w:rFonts w:ascii="Segoe UI" w:eastAsia="Times New Roman" w:hAnsi="Segoe UI" w:cs="Segoe UI"/>
          <w:b/>
          <w:bCs/>
          <w:color w:val="000000"/>
          <w:sz w:val="18"/>
          <w:szCs w:val="18"/>
          <w:lang w:eastAsia="es-CO"/>
        </w:rPr>
        <w:t>RAMÍREZ</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br w:type="textWrapping" w:clear="all"/>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pict>
          <v:rect id="_x0000_i1025" style="width:145pt;height:.6pt" o:hrpct="330" o:hrstd="t" o:hr="t" fillcolor="#a0a0a0" stroked="f"/>
        </w:pict>
      </w:r>
    </w:p>
    <w:bookmarkStart w:id="56" w:name="_ftn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w:t>
      </w:r>
      <w:r w:rsidRPr="00C6121C">
        <w:rPr>
          <w:rFonts w:ascii="Arial" w:eastAsia="Times New Roman" w:hAnsi="Arial" w:cs="Arial"/>
          <w:color w:val="000000"/>
          <w:sz w:val="18"/>
          <w:szCs w:val="18"/>
          <w:lang w:eastAsia="es-CO"/>
        </w:rPr>
        <w:fldChar w:fldCharType="end"/>
      </w:r>
      <w:bookmarkEnd w:id="56"/>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28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57" w:name="_ftn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w:t>
      </w:r>
      <w:r w:rsidRPr="00C6121C">
        <w:rPr>
          <w:rFonts w:ascii="Arial" w:eastAsia="Times New Roman" w:hAnsi="Arial" w:cs="Arial"/>
          <w:color w:val="000000"/>
          <w:sz w:val="18"/>
          <w:szCs w:val="18"/>
          <w:lang w:eastAsia="es-CO"/>
        </w:rPr>
        <w:fldChar w:fldCharType="end"/>
      </w:r>
      <w:bookmarkEnd w:id="57"/>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1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58" w:name="_ftn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w:t>
      </w:r>
      <w:r w:rsidRPr="00C6121C">
        <w:rPr>
          <w:rFonts w:ascii="Arial" w:eastAsia="Times New Roman" w:hAnsi="Arial" w:cs="Arial"/>
          <w:color w:val="000000"/>
          <w:sz w:val="18"/>
          <w:szCs w:val="18"/>
          <w:lang w:eastAsia="es-CO"/>
        </w:rPr>
        <w:fldChar w:fldCharType="end"/>
      </w:r>
      <w:bookmarkEnd w:id="58"/>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29 a 31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59" w:name="_ftn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w:t>
      </w:r>
      <w:r w:rsidRPr="00C6121C">
        <w:rPr>
          <w:rFonts w:ascii="Arial" w:eastAsia="Times New Roman" w:hAnsi="Arial" w:cs="Arial"/>
          <w:color w:val="000000"/>
          <w:sz w:val="18"/>
          <w:szCs w:val="18"/>
          <w:lang w:eastAsia="es-CO"/>
        </w:rPr>
        <w:fldChar w:fldCharType="end"/>
      </w:r>
      <w:bookmarkEnd w:id="59"/>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53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0" w:name="_ftn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w:t>
      </w:r>
      <w:r w:rsidRPr="00C6121C">
        <w:rPr>
          <w:rFonts w:ascii="Arial" w:eastAsia="Times New Roman" w:hAnsi="Arial" w:cs="Arial"/>
          <w:color w:val="000000"/>
          <w:sz w:val="18"/>
          <w:szCs w:val="18"/>
          <w:lang w:eastAsia="es-CO"/>
        </w:rPr>
        <w:fldChar w:fldCharType="end"/>
      </w:r>
      <w:bookmarkEnd w:id="60"/>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51 a 68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1" w:name="_ftn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[6]</w:t>
      </w:r>
      <w:r w:rsidRPr="00C6121C">
        <w:rPr>
          <w:rFonts w:ascii="Arial" w:eastAsia="Times New Roman" w:hAnsi="Arial" w:cs="Arial"/>
          <w:color w:val="000000"/>
          <w:sz w:val="18"/>
          <w:szCs w:val="18"/>
          <w:lang w:eastAsia="es-CO"/>
        </w:rPr>
        <w:fldChar w:fldCharType="end"/>
      </w:r>
      <w:bookmarkEnd w:id="61"/>
      <w:r w:rsidRPr="00C6121C">
        <w:rPr>
          <w:rFonts w:ascii="Segoe UI" w:eastAsia="Times New Roman" w:hAnsi="Segoe UI" w:cs="Segoe UI"/>
          <w:color w:val="000000"/>
          <w:sz w:val="20"/>
          <w:szCs w:val="20"/>
          <w:lang w:eastAsia="es-CO"/>
        </w:rPr>
        <w:t> Sanción por inexactitud $218.176.000 y sanción por libros de contabilidad $379.000.</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2" w:name="_ftn7"/>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[7]</w:t>
      </w:r>
      <w:r w:rsidRPr="00C6121C">
        <w:rPr>
          <w:rFonts w:ascii="Arial" w:eastAsia="Times New Roman" w:hAnsi="Arial" w:cs="Arial"/>
          <w:color w:val="000000"/>
          <w:sz w:val="18"/>
          <w:szCs w:val="18"/>
          <w:lang w:eastAsia="es-CO"/>
        </w:rPr>
        <w:fldChar w:fldCharType="end"/>
      </w:r>
      <w:bookmarkEnd w:id="62"/>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98 a 112 del </w:t>
      </w:r>
      <w:proofErr w:type="spellStart"/>
      <w:r w:rsidRPr="00C6121C">
        <w:rPr>
          <w:rFonts w:ascii="Segoe UI" w:eastAsia="Times New Roman" w:hAnsi="Segoe UI" w:cs="Segoe UI"/>
          <w:color w:val="000000"/>
          <w:sz w:val="20"/>
          <w:szCs w:val="20"/>
          <w:lang w:eastAsia="es-CO"/>
        </w:rPr>
        <w:t>c.a.</w:t>
      </w:r>
      <w:proofErr w:type="spellEnd"/>
      <w:r w:rsidRPr="00C6121C">
        <w:rPr>
          <w:rFonts w:ascii="Segoe UI" w:eastAsia="Times New Roman" w:hAnsi="Segoe UI" w:cs="Segoe UI"/>
          <w:color w:val="000000"/>
          <w:sz w:val="20"/>
          <w:szCs w:val="20"/>
          <w:lang w:eastAsia="es-CO"/>
        </w:rPr>
        <w:t xml:space="preserve"> y 22 a 36 del </w:t>
      </w:r>
      <w:proofErr w:type="spellStart"/>
      <w:r w:rsidRPr="00C6121C">
        <w:rPr>
          <w:rFonts w:ascii="Segoe UI" w:eastAsia="Times New Roman" w:hAnsi="Segoe UI" w:cs="Segoe UI"/>
          <w:color w:val="000000"/>
          <w:sz w:val="20"/>
          <w:szCs w:val="20"/>
          <w:lang w:eastAsia="es-CO"/>
        </w:rPr>
        <w:t>c.p.</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3" w:name="_ftn8"/>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"_ftnref8"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[8]</w:t>
      </w:r>
      <w:r w:rsidRPr="00C6121C">
        <w:rPr>
          <w:rFonts w:ascii="Arial" w:eastAsia="Times New Roman" w:hAnsi="Arial" w:cs="Arial"/>
          <w:color w:val="000000"/>
          <w:sz w:val="18"/>
          <w:szCs w:val="18"/>
          <w:lang w:eastAsia="es-CO"/>
        </w:rPr>
        <w:fldChar w:fldCharType="end"/>
      </w:r>
      <w:bookmarkEnd w:id="63"/>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144 a 156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4" w:name="_ftn9"/>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"_ftnref9"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[9]</w:t>
      </w:r>
      <w:r w:rsidRPr="00C6121C">
        <w:rPr>
          <w:rFonts w:ascii="Arial" w:eastAsia="Times New Roman" w:hAnsi="Arial" w:cs="Arial"/>
          <w:color w:val="000000"/>
          <w:sz w:val="18"/>
          <w:szCs w:val="18"/>
          <w:lang w:eastAsia="es-CO"/>
        </w:rPr>
        <w:fldChar w:fldCharType="end"/>
      </w:r>
      <w:bookmarkEnd w:id="64"/>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37 a 51 del </w:t>
      </w:r>
      <w:proofErr w:type="spellStart"/>
      <w:r w:rsidRPr="00C6121C">
        <w:rPr>
          <w:rFonts w:ascii="Segoe UI" w:eastAsia="Times New Roman" w:hAnsi="Segoe UI" w:cs="Segoe UI"/>
          <w:color w:val="000000"/>
          <w:sz w:val="20"/>
          <w:szCs w:val="20"/>
          <w:lang w:eastAsia="es-CO"/>
        </w:rPr>
        <w:t>c.p.</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5" w:name="_ftn10"/>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"_ftnref10"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[10]</w:t>
      </w:r>
      <w:r w:rsidRPr="00C6121C">
        <w:rPr>
          <w:rFonts w:ascii="Arial" w:eastAsia="Times New Roman" w:hAnsi="Arial" w:cs="Arial"/>
          <w:color w:val="000000"/>
          <w:sz w:val="18"/>
          <w:szCs w:val="18"/>
          <w:lang w:eastAsia="es-CO"/>
        </w:rPr>
        <w:fldChar w:fldCharType="end"/>
      </w:r>
      <w:bookmarkEnd w:id="65"/>
      <w:r w:rsidRPr="00C6121C">
        <w:rPr>
          <w:rFonts w:ascii="Segoe UI" w:eastAsia="Times New Roman" w:hAnsi="Segoe UI" w:cs="Segoe UI"/>
          <w:color w:val="000000"/>
          <w:sz w:val="20"/>
          <w:szCs w:val="20"/>
          <w:lang w:eastAsia="es-CO"/>
        </w:rPr>
        <w:t> En auto del 2 de julio de 2007, el Tribunal Administrativo de Antioquia señaló que la </w:t>
      </w:r>
      <w:r w:rsidRPr="00C6121C">
        <w:rPr>
          <w:rFonts w:ascii="Segoe UI" w:eastAsia="Times New Roman" w:hAnsi="Segoe UI" w:cs="Segoe UI"/>
          <w:i/>
          <w:iCs/>
          <w:color w:val="000000"/>
          <w:sz w:val="20"/>
          <w:szCs w:val="20"/>
          <w:lang w:eastAsia="es-CO"/>
        </w:rPr>
        <w:t>«entidad demandada no contestó la demanda dentro del término de fijación en lista»</w:t>
      </w:r>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70 del </w:t>
      </w:r>
      <w:proofErr w:type="spellStart"/>
      <w:r w:rsidRPr="00C6121C">
        <w:rPr>
          <w:rFonts w:ascii="Segoe UI" w:eastAsia="Times New Roman" w:hAnsi="Segoe UI" w:cs="Segoe UI"/>
          <w:color w:val="000000"/>
          <w:sz w:val="20"/>
          <w:szCs w:val="20"/>
          <w:lang w:eastAsia="es-CO"/>
        </w:rPr>
        <w:t>c.p.</w:t>
      </w:r>
      <w:proofErr w:type="spellEnd"/>
      <w:r w:rsidRPr="00C6121C">
        <w:rPr>
          <w:rFonts w:ascii="Segoe UI" w:eastAsia="Times New Roman" w:hAnsi="Segoe UI" w:cs="Segoe UI"/>
          <w:color w:val="000000"/>
          <w:sz w:val="20"/>
          <w:szCs w:val="20"/>
          <w:lang w:eastAsia="es-CO"/>
        </w:rPr>
        <w:t>). Así mismo, en la sentencia el Tribunal manifestó que «</w:t>
      </w:r>
      <w:r w:rsidRPr="00C6121C">
        <w:rPr>
          <w:rFonts w:ascii="Segoe UI" w:eastAsia="Times New Roman" w:hAnsi="Segoe UI" w:cs="Segoe UI"/>
          <w:i/>
          <w:iCs/>
          <w:color w:val="000000"/>
          <w:sz w:val="20"/>
          <w:szCs w:val="20"/>
          <w:lang w:eastAsia="es-CO"/>
        </w:rPr>
        <w:t>La DIAN, no obstante ser notificada en debida forma como se observa a folio 69 de la demanda, no presentó contestación a la misma</w:t>
      </w:r>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97 del </w:t>
      </w:r>
      <w:proofErr w:type="spellStart"/>
      <w:r w:rsidRPr="00C6121C">
        <w:rPr>
          <w:rFonts w:ascii="Segoe UI" w:eastAsia="Times New Roman" w:hAnsi="Segoe UI" w:cs="Segoe UI"/>
          <w:color w:val="000000"/>
          <w:sz w:val="20"/>
          <w:szCs w:val="20"/>
          <w:lang w:eastAsia="es-CO"/>
        </w:rPr>
        <w:t>c.p.</w:t>
      </w:r>
      <w:proofErr w:type="spellEnd"/>
      <w:r w:rsidRPr="00C6121C">
        <w:rPr>
          <w:rFonts w:ascii="Segoe UI" w:eastAsia="Times New Roman" w:hAnsi="Segoe UI" w:cs="Segoe UI"/>
          <w:color w:val="000000"/>
          <w:sz w:val="20"/>
          <w:szCs w:val="20"/>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6" w:name="_ftn1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[11]</w:t>
      </w:r>
      <w:r w:rsidRPr="00C6121C">
        <w:rPr>
          <w:rFonts w:ascii="Arial" w:eastAsia="Times New Roman" w:hAnsi="Arial" w:cs="Arial"/>
          <w:color w:val="000000"/>
          <w:sz w:val="18"/>
          <w:szCs w:val="18"/>
          <w:lang w:eastAsia="es-CO"/>
        </w:rPr>
        <w:fldChar w:fldCharType="end"/>
      </w:r>
      <w:bookmarkEnd w:id="66"/>
      <w:r w:rsidRPr="00C6121C">
        <w:rPr>
          <w:rFonts w:ascii="Segoe UI" w:eastAsia="Times New Roman" w:hAnsi="Segoe UI" w:cs="Segoe UI"/>
          <w:color w:val="000000"/>
          <w:sz w:val="20"/>
          <w:szCs w:val="20"/>
          <w:lang w:eastAsia="es-CO"/>
        </w:rPr>
        <w:t> Citó el artículo 135 del Código Contencioso Administrativo y las Sentencias C-319 de 2002 de la Corte Constitucional y del 20 de septiembre de 2007, Rad. 1995-12217-01, de la Sección Primera del Consejo de Estado.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7" w:name="_ftn1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[12]</w:t>
      </w:r>
      <w:r w:rsidRPr="00C6121C">
        <w:rPr>
          <w:rFonts w:ascii="Arial" w:eastAsia="Times New Roman" w:hAnsi="Arial" w:cs="Arial"/>
          <w:color w:val="000000"/>
          <w:sz w:val="18"/>
          <w:szCs w:val="18"/>
          <w:lang w:eastAsia="es-CO"/>
        </w:rPr>
        <w:fldChar w:fldCharType="end"/>
      </w:r>
      <w:bookmarkEnd w:id="67"/>
      <w:r w:rsidRPr="00C6121C">
        <w:rPr>
          <w:rFonts w:ascii="Segoe UI" w:eastAsia="Times New Roman" w:hAnsi="Segoe UI" w:cs="Segoe UI"/>
          <w:color w:val="000000"/>
          <w:sz w:val="20"/>
          <w:szCs w:val="20"/>
          <w:lang w:eastAsia="es-CO"/>
        </w:rPr>
        <w:t xml:space="preserve"> Sentencia del 17 de mayo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20718, C.P. Stella Jeannette Carvajal Basto, que reiteró la sentencia del 27 de mayo de 2010,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17324, C.P. Martha Teresa Briceño de Valencia. En dichas providencias se destacó, con fundamento en </w:t>
      </w:r>
      <w:proofErr w:type="gramStart"/>
      <w:r w:rsidRPr="00C6121C">
        <w:rPr>
          <w:rFonts w:ascii="Segoe UI" w:eastAsia="Times New Roman" w:hAnsi="Segoe UI" w:cs="Segoe UI"/>
          <w:color w:val="000000"/>
          <w:sz w:val="20"/>
          <w:szCs w:val="20"/>
          <w:lang w:eastAsia="es-CO"/>
        </w:rPr>
        <w:t>los artículo</w:t>
      </w:r>
      <w:proofErr w:type="gramEnd"/>
      <w:r w:rsidRPr="00C6121C">
        <w:rPr>
          <w:rFonts w:ascii="Segoe UI" w:eastAsia="Times New Roman" w:hAnsi="Segoe UI" w:cs="Segoe UI"/>
          <w:color w:val="000000"/>
          <w:sz w:val="20"/>
          <w:szCs w:val="20"/>
          <w:lang w:eastAsia="es-CO"/>
        </w:rPr>
        <w:t xml:space="preserve"> (sic) 93 y 95 del Código de Procedimiento Civil, que la falta de intervención de la Administración en la contestación de la demanda no puede interpretarse como un allanamiento a las pretensiones, lo cual sería ineficaz, en la medida en que las entidades públicas deben acreditar los requisitos legales exigidos para tal efecto.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8" w:name="_ftn1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[13]</w:t>
      </w:r>
      <w:r w:rsidRPr="00C6121C">
        <w:rPr>
          <w:rFonts w:ascii="Arial" w:eastAsia="Times New Roman" w:hAnsi="Arial" w:cs="Arial"/>
          <w:color w:val="000000"/>
          <w:sz w:val="18"/>
          <w:szCs w:val="18"/>
          <w:lang w:eastAsia="es-CO"/>
        </w:rPr>
        <w:fldChar w:fldCharType="end"/>
      </w:r>
      <w:bookmarkEnd w:id="68"/>
      <w:r w:rsidRPr="00C6121C">
        <w:rPr>
          <w:rFonts w:ascii="Segoe UI" w:eastAsia="Times New Roman" w:hAnsi="Segoe UI" w:cs="Segoe UI"/>
          <w:color w:val="000000"/>
          <w:sz w:val="20"/>
          <w:szCs w:val="20"/>
          <w:lang w:eastAsia="es-CO"/>
        </w:rPr>
        <w:t xml:space="preserve"> Cfr. sentencias del 19 de octubre de 2006,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15147, C.P. María Inés Ortiz Barbosa, del 3 de diciembre de 2009,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16183, C.P. Héctor J. Romero Díaz, del 16 de septiembre de 2010,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16691, C.P. Hugo Fernando Bastidas Bárcenas, del 3 de marzo de 2011,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16184, C.P. Martha Teresa Briceño de Valencia, del 12 de agosto de 2014,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19036, C.P. Jorge Octavio Ramírez </w:t>
      </w:r>
      <w:proofErr w:type="spellStart"/>
      <w:r w:rsidRPr="00C6121C">
        <w:rPr>
          <w:rFonts w:ascii="Segoe UI" w:eastAsia="Times New Roman" w:hAnsi="Segoe UI" w:cs="Segoe UI"/>
          <w:color w:val="000000"/>
          <w:sz w:val="20"/>
          <w:szCs w:val="20"/>
          <w:lang w:eastAsia="es-CO"/>
        </w:rPr>
        <w:t>Ramírez</w:t>
      </w:r>
      <w:proofErr w:type="spellEnd"/>
      <w:r w:rsidRPr="00C6121C">
        <w:rPr>
          <w:rFonts w:ascii="Segoe UI" w:eastAsia="Times New Roman" w:hAnsi="Segoe UI" w:cs="Segoe UI"/>
          <w:color w:val="000000"/>
          <w:sz w:val="20"/>
          <w:szCs w:val="20"/>
          <w:lang w:eastAsia="es-CO"/>
        </w:rPr>
        <w:t xml:space="preserve"> y del 20 de septiembre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23554, C.P. 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69" w:name="_ftn1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[14]</w:t>
      </w:r>
      <w:r w:rsidRPr="00C6121C">
        <w:rPr>
          <w:rFonts w:ascii="Arial" w:eastAsia="Times New Roman" w:hAnsi="Arial" w:cs="Arial"/>
          <w:color w:val="000000"/>
          <w:sz w:val="18"/>
          <w:szCs w:val="18"/>
          <w:lang w:eastAsia="es-CO"/>
        </w:rPr>
        <w:fldChar w:fldCharType="end"/>
      </w:r>
      <w:bookmarkEnd w:id="69"/>
      <w:r w:rsidRPr="00C6121C">
        <w:rPr>
          <w:rFonts w:ascii="Segoe UI" w:eastAsia="Times New Roman" w:hAnsi="Segoe UI" w:cs="Segoe UI"/>
          <w:color w:val="000000"/>
          <w:sz w:val="20"/>
          <w:szCs w:val="20"/>
          <w:lang w:eastAsia="es-CO"/>
        </w:rPr>
        <w:t xml:space="preserve"> Cfr. sentencia del 23 de noviembre de 2005,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14891, C.P. María Inés Ortiz Barbosa, que reiteró lo expuesto en la sentencia del 23 de marzo de 2001,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11686, C.P. María Inés Ortiz Barbosa.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0" w:name="_ftn1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[15]</w:t>
      </w:r>
      <w:r w:rsidRPr="00C6121C">
        <w:rPr>
          <w:rFonts w:ascii="Arial" w:eastAsia="Times New Roman" w:hAnsi="Arial" w:cs="Arial"/>
          <w:color w:val="000000"/>
          <w:sz w:val="18"/>
          <w:szCs w:val="18"/>
          <w:lang w:eastAsia="es-CO"/>
        </w:rPr>
        <w:fldChar w:fldCharType="end"/>
      </w:r>
      <w:bookmarkEnd w:id="70"/>
      <w:r w:rsidRPr="00C6121C">
        <w:rPr>
          <w:rFonts w:ascii="Segoe UI" w:eastAsia="Times New Roman" w:hAnsi="Segoe UI" w:cs="Segoe UI"/>
          <w:color w:val="000000"/>
          <w:sz w:val="20"/>
          <w:szCs w:val="20"/>
          <w:lang w:eastAsia="es-CO"/>
        </w:rPr>
        <w:t xml:space="preserve"> Entre otras, las sentencias del 3 de marzo de 2011,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16184, C.P. Martha Teresa Briceño de Valencia, del 31 de enero de 2013,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18878, C.P. Carmen Teresa Ortiz de Rodríguez, del 6 de </w:t>
      </w:r>
      <w:r w:rsidRPr="00C6121C">
        <w:rPr>
          <w:rFonts w:ascii="Segoe UI" w:eastAsia="Times New Roman" w:hAnsi="Segoe UI" w:cs="Segoe UI"/>
          <w:color w:val="000000"/>
          <w:sz w:val="20"/>
          <w:szCs w:val="20"/>
          <w:lang w:eastAsia="es-CO"/>
        </w:rPr>
        <w:lastRenderedPageBreak/>
        <w:t xml:space="preserve">noviembre de 2014,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20356, C.P. Martha Teresa Briceño de Valencia y del 30 de agosto de 2016,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20281, C.P. Jorge Octavio Ramírez </w:t>
      </w:r>
      <w:proofErr w:type="spellStart"/>
      <w:r w:rsidRPr="00C6121C">
        <w:rPr>
          <w:rFonts w:ascii="Segoe UI" w:eastAsia="Times New Roman" w:hAnsi="Segoe UI" w:cs="Segoe UI"/>
          <w:color w:val="000000"/>
          <w:sz w:val="20"/>
          <w:szCs w:val="20"/>
          <w:lang w:eastAsia="es-CO"/>
        </w:rPr>
        <w:t>Ramírez</w:t>
      </w:r>
      <w:proofErr w:type="spellEnd"/>
      <w:r w:rsidRPr="00C6121C">
        <w:rPr>
          <w:rFonts w:ascii="Segoe UI" w:eastAsia="Times New Roman" w:hAnsi="Segoe UI" w:cs="Segoe UI"/>
          <w:color w:val="000000"/>
          <w:sz w:val="20"/>
          <w:szCs w:val="20"/>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1" w:name="_ftn1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[16]</w:t>
      </w:r>
      <w:r w:rsidRPr="00C6121C">
        <w:rPr>
          <w:rFonts w:ascii="Arial" w:eastAsia="Times New Roman" w:hAnsi="Arial" w:cs="Arial"/>
          <w:color w:val="000000"/>
          <w:sz w:val="18"/>
          <w:szCs w:val="18"/>
          <w:lang w:eastAsia="es-CO"/>
        </w:rPr>
        <w:fldChar w:fldCharType="end"/>
      </w:r>
      <w:bookmarkEnd w:id="71"/>
      <w:r w:rsidRPr="00C6121C">
        <w:rPr>
          <w:rFonts w:ascii="Segoe UI" w:eastAsia="Times New Roman" w:hAnsi="Segoe UI" w:cs="Segoe UI"/>
          <w:color w:val="000000"/>
          <w:sz w:val="20"/>
          <w:szCs w:val="20"/>
          <w:lang w:eastAsia="es-CO"/>
        </w:rPr>
        <w:t xml:space="preserve"> En este sentido se pronunció la Sala en la providencia del 14 de mayo de 2014,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19988, C.P. Jorge Octavio Ramírez </w:t>
      </w:r>
      <w:proofErr w:type="spellStart"/>
      <w:r w:rsidRPr="00C6121C">
        <w:rPr>
          <w:rFonts w:ascii="Segoe UI" w:eastAsia="Times New Roman" w:hAnsi="Segoe UI" w:cs="Segoe UI"/>
          <w:color w:val="000000"/>
          <w:sz w:val="20"/>
          <w:szCs w:val="20"/>
          <w:lang w:eastAsia="es-CO"/>
        </w:rPr>
        <w:t>Ramírez</w:t>
      </w:r>
      <w:proofErr w:type="spellEnd"/>
      <w:r w:rsidRPr="00C6121C">
        <w:rPr>
          <w:rFonts w:ascii="Segoe UI" w:eastAsia="Times New Roman" w:hAnsi="Segoe UI" w:cs="Segoe UI"/>
          <w:color w:val="000000"/>
          <w:sz w:val="20"/>
          <w:szCs w:val="20"/>
          <w:lang w:eastAsia="es-CO"/>
        </w:rPr>
        <w:t xml:space="preserve">, citado en la sentencia del 23 de julio de 2015,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20280, C.P. Carmen Teresa Ortiz de Rodríguez.</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2" w:name="_ftn17"/>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[17]</w:t>
      </w:r>
      <w:r w:rsidRPr="00C6121C">
        <w:rPr>
          <w:rFonts w:ascii="Arial" w:eastAsia="Times New Roman" w:hAnsi="Arial" w:cs="Arial"/>
          <w:color w:val="000000"/>
          <w:sz w:val="18"/>
          <w:szCs w:val="18"/>
          <w:lang w:eastAsia="es-CO"/>
        </w:rPr>
        <w:fldChar w:fldCharType="end"/>
      </w:r>
      <w:bookmarkEnd w:id="72"/>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59" w:tooltip="Estatuto Tributario CETA" w:history="1">
        <w:r w:rsidRPr="00C6121C">
          <w:rPr>
            <w:rFonts w:ascii="Segoe UI" w:eastAsia="Times New Roman" w:hAnsi="Segoe UI" w:cs="Segoe UI"/>
            <w:b/>
            <w:bCs/>
            <w:i/>
            <w:iCs/>
            <w:color w:val="0089E1"/>
            <w:sz w:val="20"/>
            <w:szCs w:val="20"/>
            <w:lang w:eastAsia="es-CO"/>
          </w:rPr>
          <w:t>Art. 684</w:t>
        </w:r>
      </w:hyperlink>
      <w:r w:rsidRPr="00C6121C">
        <w:rPr>
          <w:rFonts w:ascii="Segoe UI" w:eastAsia="Times New Roman" w:hAnsi="Segoe UI" w:cs="Segoe UI"/>
          <w:b/>
          <w:bCs/>
          <w:i/>
          <w:iCs/>
          <w:color w:val="000000"/>
          <w:sz w:val="20"/>
          <w:szCs w:val="20"/>
          <w:lang w:eastAsia="es-CO"/>
        </w:rPr>
        <w:t>. Facultades de fiscalización e investigación.</w:t>
      </w:r>
      <w:r w:rsidRPr="00C6121C">
        <w:rPr>
          <w:rFonts w:ascii="Segoe UI" w:eastAsia="Times New Roman" w:hAnsi="Segoe UI" w:cs="Segoe UI"/>
          <w:i/>
          <w:iCs/>
          <w:color w:val="000000"/>
          <w:sz w:val="20"/>
          <w:szCs w:val="20"/>
          <w:lang w:eastAsia="es-CO"/>
        </w:rPr>
        <w:t> La Administración Tributaria tiene amplias facultades de fiscalización e investigación para asegurar el efectivo cumplimiento de las normas sustanciales. Para tal efecto podrá:</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a. Verificar la exactitud de las declaraciones u otros informes, cuando lo considere necesario.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b. Adelantar las investigaciones que estime convenientes para establecer la ocurrencia de hechos generadores de obligaciones tributarias, no declarados.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c. Citar o requerir al contribuyente o a terceros para que rindan informes o contesten interrogatorios.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d. Exigir del contribuyente o de terceros la presentación de documentos que registren sus operaciones cuando unos u otros estén obligados a llevar libros registrados.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e. Ordenar la exhibición y examen parcial de los libros, comprobantes y documentos, tanto del contribuyente como de terceros, legalmente obligados a llevar contabilidad.</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f. En general, efectuar todas las diligencias necesarias para la correcta y oportuna determinación de los impuestos, facilitando al contribuyente la aclaración de toda duda u omisión que conduzca a una correcta determinación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3" w:name="_ftn18"/>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"_ftnref18"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[18]</w:t>
      </w:r>
      <w:r w:rsidRPr="00C6121C">
        <w:rPr>
          <w:rFonts w:ascii="Arial" w:eastAsia="Times New Roman" w:hAnsi="Arial" w:cs="Arial"/>
          <w:color w:val="000000"/>
          <w:sz w:val="18"/>
          <w:szCs w:val="18"/>
          <w:lang w:eastAsia="es-CO"/>
        </w:rPr>
        <w:fldChar w:fldCharType="end"/>
      </w:r>
      <w:bookmarkEnd w:id="73"/>
      <w:r w:rsidRPr="00C6121C">
        <w:rPr>
          <w:rFonts w:ascii="Segoe UI" w:eastAsia="Times New Roman" w:hAnsi="Segoe UI" w:cs="Segoe UI"/>
          <w:color w:val="000000"/>
          <w:sz w:val="20"/>
          <w:szCs w:val="20"/>
          <w:lang w:eastAsia="es-CO"/>
        </w:rPr>
        <w:t> </w:t>
      </w:r>
      <w:hyperlink r:id="rId60" w:tooltip="Estatuto Tributario CETA" w:history="1">
        <w:r w:rsidRPr="00C6121C">
          <w:rPr>
            <w:rFonts w:ascii="Segoe UI" w:eastAsia="Times New Roman" w:hAnsi="Segoe UI" w:cs="Segoe UI"/>
            <w:color w:val="0089E1"/>
            <w:sz w:val="20"/>
            <w:szCs w:val="20"/>
            <w:lang w:eastAsia="es-CO"/>
          </w:rPr>
          <w:t>Artículo 746</w:t>
        </w:r>
      </w:hyperlink>
      <w:r w:rsidRPr="00C6121C">
        <w:rPr>
          <w:rFonts w:ascii="Segoe UI" w:eastAsia="Times New Roman" w:hAnsi="Segoe UI" w:cs="Segoe UI"/>
          <w:color w:val="000000"/>
          <w:sz w:val="20"/>
          <w:szCs w:val="20"/>
          <w:lang w:eastAsia="es-CO"/>
        </w:rPr>
        <w:t> del E.T.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4" w:name="_ftn19"/>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"_ftnref19"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[19]</w:t>
      </w:r>
      <w:r w:rsidRPr="00C6121C">
        <w:rPr>
          <w:rFonts w:ascii="Arial" w:eastAsia="Times New Roman" w:hAnsi="Arial" w:cs="Arial"/>
          <w:color w:val="000000"/>
          <w:sz w:val="18"/>
          <w:szCs w:val="18"/>
          <w:lang w:eastAsia="es-CO"/>
        </w:rPr>
        <w:fldChar w:fldCharType="end"/>
      </w:r>
      <w:bookmarkEnd w:id="74"/>
      <w:r w:rsidRPr="00C6121C">
        <w:rPr>
          <w:rFonts w:ascii="Segoe UI" w:eastAsia="Times New Roman" w:hAnsi="Segoe UI" w:cs="Segoe UI"/>
          <w:color w:val="000000"/>
          <w:sz w:val="20"/>
          <w:szCs w:val="20"/>
          <w:lang w:eastAsia="es-CO"/>
        </w:rPr>
        <w:t> Código de Procedimiento Civil (hoy Código General del Proceso).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5" w:name="_ftn20"/>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"_ftnref20"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[20]</w:t>
      </w:r>
      <w:r w:rsidRPr="00C6121C">
        <w:rPr>
          <w:rFonts w:ascii="Arial" w:eastAsia="Times New Roman" w:hAnsi="Arial" w:cs="Arial"/>
          <w:color w:val="000000"/>
          <w:sz w:val="18"/>
          <w:szCs w:val="18"/>
          <w:lang w:eastAsia="es-CO"/>
        </w:rPr>
        <w:fldChar w:fldCharType="end"/>
      </w:r>
      <w:bookmarkEnd w:id="75"/>
      <w:r w:rsidRPr="00C6121C">
        <w:rPr>
          <w:rFonts w:ascii="Segoe UI" w:eastAsia="Times New Roman" w:hAnsi="Segoe UI" w:cs="Segoe UI"/>
          <w:color w:val="000000"/>
          <w:sz w:val="20"/>
          <w:szCs w:val="20"/>
          <w:lang w:eastAsia="es-CO"/>
        </w:rPr>
        <w:t> Aptitud legal que tiene una prueba para demostrar determinado hecho.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6" w:name="_ftn2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[21]</w:t>
      </w:r>
      <w:r w:rsidRPr="00C6121C">
        <w:rPr>
          <w:rFonts w:ascii="Arial" w:eastAsia="Times New Roman" w:hAnsi="Arial" w:cs="Arial"/>
          <w:color w:val="000000"/>
          <w:sz w:val="18"/>
          <w:szCs w:val="18"/>
          <w:lang w:eastAsia="es-CO"/>
        </w:rPr>
        <w:fldChar w:fldCharType="end"/>
      </w:r>
      <w:bookmarkEnd w:id="76"/>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61" w:history="1">
        <w:r w:rsidRPr="00C6121C">
          <w:rPr>
            <w:rFonts w:ascii="Segoe UI" w:eastAsia="Times New Roman" w:hAnsi="Segoe UI" w:cs="Segoe UI"/>
            <w:b/>
            <w:bCs/>
            <w:i/>
            <w:iCs/>
            <w:color w:val="0089E1"/>
            <w:sz w:val="20"/>
            <w:szCs w:val="20"/>
            <w:lang w:eastAsia="es-CO"/>
          </w:rPr>
          <w:t>Art. 77</w:t>
        </w:r>
      </w:hyperlink>
      <w:hyperlink r:id="rId62" w:history="1">
        <w:r w:rsidRPr="00C6121C">
          <w:rPr>
            <w:rFonts w:ascii="Segoe UI" w:eastAsia="Times New Roman" w:hAnsi="Segoe UI" w:cs="Segoe UI"/>
            <w:b/>
            <w:bCs/>
            <w:i/>
            <w:iCs/>
            <w:color w:val="0089E1"/>
            <w:sz w:val="20"/>
            <w:szCs w:val="20"/>
            <w:lang w:eastAsia="es-CO"/>
          </w:rPr>
          <w:t>2</w:t>
        </w:r>
      </w:hyperlink>
      <w:r w:rsidRPr="00C6121C">
        <w:rPr>
          <w:rFonts w:ascii="Segoe UI" w:eastAsia="Times New Roman" w:hAnsi="Segoe UI" w:cs="Segoe UI"/>
          <w:b/>
          <w:bCs/>
          <w:i/>
          <w:iCs/>
          <w:color w:val="000000"/>
          <w:sz w:val="20"/>
          <w:szCs w:val="20"/>
          <w:lang w:eastAsia="es-CO"/>
        </w:rPr>
        <w:t>. La contabilidad como medio de prueba.</w:t>
      </w:r>
      <w:r w:rsidRPr="00C6121C">
        <w:rPr>
          <w:rFonts w:ascii="Segoe UI" w:eastAsia="Times New Roman" w:hAnsi="Segoe UI" w:cs="Segoe UI"/>
          <w:i/>
          <w:iCs/>
          <w:color w:val="000000"/>
          <w:sz w:val="20"/>
          <w:szCs w:val="20"/>
          <w:lang w:eastAsia="es-CO"/>
        </w:rPr>
        <w:t> Los libros de contabilidad del contribuyente constituyen prueba a su favor, siempre que se lleven en debida forma».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77" w:name="_ftn2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[22]</w:t>
      </w:r>
      <w:r w:rsidRPr="00C6121C">
        <w:rPr>
          <w:rFonts w:ascii="Arial" w:eastAsia="Times New Roman" w:hAnsi="Arial" w:cs="Arial"/>
          <w:color w:val="000000"/>
          <w:sz w:val="18"/>
          <w:szCs w:val="18"/>
          <w:lang w:eastAsia="es-CO"/>
        </w:rPr>
        <w:fldChar w:fldCharType="end"/>
      </w:r>
      <w:bookmarkEnd w:id="77"/>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63" w:tooltip="Estatuto Tributario CETA" w:history="1">
        <w:r w:rsidRPr="00C6121C">
          <w:rPr>
            <w:rFonts w:ascii="Segoe UI" w:eastAsia="Times New Roman" w:hAnsi="Segoe UI" w:cs="Segoe UI"/>
            <w:b/>
            <w:bCs/>
            <w:i/>
            <w:iCs/>
            <w:color w:val="0089E1"/>
            <w:sz w:val="20"/>
            <w:szCs w:val="20"/>
            <w:lang w:eastAsia="es-CO"/>
          </w:rPr>
          <w:t>Art. 773</w:t>
        </w:r>
      </w:hyperlink>
      <w:r w:rsidRPr="00C6121C">
        <w:rPr>
          <w:rFonts w:ascii="Segoe UI" w:eastAsia="Times New Roman" w:hAnsi="Segoe UI" w:cs="Segoe UI"/>
          <w:b/>
          <w:bCs/>
          <w:i/>
          <w:iCs/>
          <w:color w:val="000000"/>
          <w:sz w:val="20"/>
          <w:szCs w:val="20"/>
          <w:lang w:eastAsia="es-CO"/>
        </w:rPr>
        <w:t>. Forma y requisitos para llevar la contabilidad.</w:t>
      </w:r>
      <w:r w:rsidRPr="00C6121C">
        <w:rPr>
          <w:rFonts w:ascii="Segoe UI" w:eastAsia="Times New Roman" w:hAnsi="Segoe UI" w:cs="Segoe UI"/>
          <w:i/>
          <w:iCs/>
          <w:color w:val="000000"/>
          <w:sz w:val="20"/>
          <w:szCs w:val="20"/>
          <w:lang w:eastAsia="es-CO"/>
        </w:rPr>
        <w:t> Para efectos fiscales, la contabilidad de los comerciantes deberá sujetarse al título IV del libro I, del Código de Comercio y:</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1. Mostrar fielmente el movimiento diario de ventas y compras. Las operaciones correspondientes podrán expresarse globalmente, siempre que se especifiquen de modo preciso los comprobantes externos que respalden los valores anotados.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2. Cumplir los requisitos señalados por el gobierno mediante reglamentos, en forma que, sin tener que emplear libros incompatibles con las características del negocio, haga posible, sin embargo, ejercer un control efectivo y reflejar, en uno o más libros, la situación económica y financiera de la empresa».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bookmarkStart w:id="78" w:name="_ftn2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[23]</w:t>
      </w:r>
      <w:r w:rsidRPr="00C6121C">
        <w:rPr>
          <w:rFonts w:ascii="Arial" w:eastAsia="Times New Roman" w:hAnsi="Arial" w:cs="Arial"/>
          <w:color w:val="000000"/>
          <w:sz w:val="18"/>
          <w:szCs w:val="18"/>
          <w:lang w:eastAsia="es-CO"/>
        </w:rPr>
        <w:fldChar w:fldCharType="end"/>
      </w:r>
      <w:bookmarkEnd w:id="78"/>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64" w:tooltip="Estatuto Tributario CETA" w:history="1">
        <w:r w:rsidRPr="00C6121C">
          <w:rPr>
            <w:rFonts w:ascii="Segoe UI" w:eastAsia="Times New Roman" w:hAnsi="Segoe UI" w:cs="Segoe UI"/>
            <w:b/>
            <w:bCs/>
            <w:i/>
            <w:iCs/>
            <w:color w:val="0089E1"/>
            <w:sz w:val="20"/>
            <w:szCs w:val="20"/>
            <w:lang w:eastAsia="es-CO"/>
          </w:rPr>
          <w:t>Art. 774</w:t>
        </w:r>
      </w:hyperlink>
      <w:r w:rsidRPr="00C6121C">
        <w:rPr>
          <w:rFonts w:ascii="Segoe UI" w:eastAsia="Times New Roman" w:hAnsi="Segoe UI" w:cs="Segoe UI"/>
          <w:b/>
          <w:bCs/>
          <w:i/>
          <w:iCs/>
          <w:color w:val="000000"/>
          <w:sz w:val="20"/>
          <w:szCs w:val="20"/>
          <w:lang w:eastAsia="es-CO"/>
        </w:rPr>
        <w:t>. Requisitos para que la contabilidad constituya prueba.</w:t>
      </w:r>
      <w:r w:rsidRPr="00C6121C">
        <w:rPr>
          <w:rFonts w:ascii="Segoe UI" w:eastAsia="Times New Roman" w:hAnsi="Segoe UI" w:cs="Segoe UI"/>
          <w:i/>
          <w:iCs/>
          <w:color w:val="000000"/>
          <w:sz w:val="20"/>
          <w:szCs w:val="20"/>
          <w:lang w:eastAsia="es-CO"/>
        </w:rPr>
        <w:t> Tanto para los obligados legalmente a llevar libros de contabilidad, como para quienes no estando legalmente obligados lleven libros de contabilidad, estos serán prueba suficiente, siempre que reúnan los siguientes requisitos: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1. Estar registrados en la Cámara de Comercio o en la Administración de Impuestos Nacionales, según el caso;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2. Estar respaldados por comprobantes internos y externos;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3. Reflejar completamente la situación de la entidad o persona natural;</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4. No haber sido desvirtuados por medios probatorios directos o indirectos que no estén prohibidos por la ley;</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5. No encontrarse en las circunstancias del artículo 74 del Código de Comercio».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bookmarkStart w:id="79" w:name="_ftn2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[24]</w:t>
      </w:r>
      <w:r w:rsidRPr="00C6121C">
        <w:rPr>
          <w:rFonts w:ascii="Arial" w:eastAsia="Times New Roman" w:hAnsi="Arial" w:cs="Arial"/>
          <w:color w:val="000000"/>
          <w:sz w:val="18"/>
          <w:szCs w:val="18"/>
          <w:lang w:eastAsia="es-CO"/>
        </w:rPr>
        <w:fldChar w:fldCharType="end"/>
      </w:r>
      <w:bookmarkEnd w:id="79"/>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65" w:tooltip="Estatuto Tributario CETA" w:history="1">
        <w:r w:rsidRPr="00C6121C">
          <w:rPr>
            <w:rFonts w:ascii="Segoe UI" w:eastAsia="Times New Roman" w:hAnsi="Segoe UI" w:cs="Segoe UI"/>
            <w:b/>
            <w:bCs/>
            <w:i/>
            <w:iCs/>
            <w:color w:val="0089E1"/>
            <w:sz w:val="20"/>
            <w:szCs w:val="20"/>
            <w:lang w:eastAsia="es-CO"/>
          </w:rPr>
          <w:t>Art. 781</w:t>
        </w:r>
      </w:hyperlink>
      <w:r w:rsidRPr="00C6121C">
        <w:rPr>
          <w:rFonts w:ascii="Segoe UI" w:eastAsia="Times New Roman" w:hAnsi="Segoe UI" w:cs="Segoe UI"/>
          <w:b/>
          <w:bCs/>
          <w:i/>
          <w:iCs/>
          <w:color w:val="000000"/>
          <w:sz w:val="20"/>
          <w:szCs w:val="20"/>
          <w:lang w:eastAsia="es-CO"/>
        </w:rPr>
        <w:t>. La no presentación de los libros de contabilidad será indicio en contra del contribuyente.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xml:space="preserve">El contribuyente que no presente sus libros, comprobantes y demás documentos de contabilidad cuando la administración lo exija, no podrá invocarlos posteriormente como prueba en su favor y tal hecho se </w:t>
      </w:r>
      <w:r w:rsidRPr="00C6121C">
        <w:rPr>
          <w:rFonts w:ascii="Segoe UI" w:eastAsia="Times New Roman" w:hAnsi="Segoe UI" w:cs="Segoe UI"/>
          <w:i/>
          <w:iCs/>
          <w:color w:val="000000"/>
          <w:sz w:val="20"/>
          <w:szCs w:val="20"/>
          <w:lang w:eastAsia="es-CO"/>
        </w:rPr>
        <w:lastRenderedPageBreak/>
        <w:t>tendrá como indicio en su contra. En tales casos se desconocerán los correspondientes costos, deducciones, descuentos y pasivos, </w:t>
      </w:r>
      <w:r w:rsidRPr="00C6121C">
        <w:rPr>
          <w:rFonts w:ascii="Segoe UI" w:eastAsia="Times New Roman" w:hAnsi="Segoe UI" w:cs="Segoe UI"/>
          <w:i/>
          <w:iCs/>
          <w:color w:val="000000"/>
          <w:sz w:val="20"/>
          <w:szCs w:val="20"/>
          <w:u w:val="single"/>
          <w:lang w:eastAsia="es-CO"/>
        </w:rPr>
        <w:t>salvo que el contribuyente los acredite plenamente</w:t>
      </w:r>
      <w:r w:rsidRPr="00C6121C">
        <w:rPr>
          <w:rFonts w:ascii="Segoe UI" w:eastAsia="Times New Roman" w:hAnsi="Segoe UI" w:cs="Segoe UI"/>
          <w:i/>
          <w:iCs/>
          <w:color w:val="000000"/>
          <w:sz w:val="20"/>
          <w:szCs w:val="20"/>
          <w:lang w:eastAsia="es-CO"/>
        </w:rPr>
        <w:t>. Únicamente se aceptará como causa justificativa de la no presentación, la comprobación plena de hechos constitutivos de fuerza mayor o caso fortuito.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La existencia de la contabilidad se presume en todos los casos en que la ley impone la obligación de llevarla». </w:t>
      </w:r>
      <w:r w:rsidRPr="00C6121C">
        <w:rPr>
          <w:rFonts w:ascii="Segoe UI" w:eastAsia="Times New Roman" w:hAnsi="Segoe UI" w:cs="Segoe UI"/>
          <w:color w:val="000000"/>
          <w:sz w:val="20"/>
          <w:szCs w:val="20"/>
          <w:lang w:eastAsia="es-CO"/>
        </w:rPr>
        <w:t>(Se subraya).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0" w:name="_ftn2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[25]</w:t>
      </w:r>
      <w:r w:rsidRPr="00C6121C">
        <w:rPr>
          <w:rFonts w:ascii="Arial" w:eastAsia="Times New Roman" w:hAnsi="Arial" w:cs="Arial"/>
          <w:color w:val="000000"/>
          <w:sz w:val="18"/>
          <w:szCs w:val="18"/>
          <w:lang w:eastAsia="es-CO"/>
        </w:rPr>
        <w:fldChar w:fldCharType="end"/>
      </w:r>
      <w:bookmarkEnd w:id="80"/>
      <w:r w:rsidRPr="00C6121C">
        <w:rPr>
          <w:rFonts w:ascii="Segoe UI" w:eastAsia="Times New Roman" w:hAnsi="Segoe UI" w:cs="Segoe UI"/>
          <w:color w:val="000000"/>
          <w:sz w:val="20"/>
          <w:szCs w:val="20"/>
          <w:lang w:eastAsia="es-CO"/>
        </w:rPr>
        <w:t xml:space="preserve"> Sentencia del 26 de enero de 2012,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17318, C.P. Hugo Fernando Bastidas Bárcenas.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1" w:name="_ftn2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[26]</w:t>
      </w:r>
      <w:r w:rsidRPr="00C6121C">
        <w:rPr>
          <w:rFonts w:ascii="Arial" w:eastAsia="Times New Roman" w:hAnsi="Arial" w:cs="Arial"/>
          <w:color w:val="000000"/>
          <w:sz w:val="18"/>
          <w:szCs w:val="18"/>
          <w:lang w:eastAsia="es-CO"/>
        </w:rPr>
        <w:fldChar w:fldCharType="end"/>
      </w:r>
      <w:bookmarkEnd w:id="81"/>
      <w:r w:rsidRPr="00C6121C">
        <w:rPr>
          <w:rFonts w:ascii="Segoe UI" w:eastAsia="Times New Roman" w:hAnsi="Segoe UI" w:cs="Segoe UI"/>
          <w:color w:val="000000"/>
          <w:sz w:val="20"/>
          <w:szCs w:val="20"/>
          <w:lang w:eastAsia="es-CO"/>
        </w:rPr>
        <w:t xml:space="preserve"> Cfr. Sentencia del 4 de octubre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19778, C.P. 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2" w:name="_ftn27"/>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[27]</w:t>
      </w:r>
      <w:r w:rsidRPr="00C6121C">
        <w:rPr>
          <w:rFonts w:ascii="Arial" w:eastAsia="Times New Roman" w:hAnsi="Arial" w:cs="Arial"/>
          <w:color w:val="000000"/>
          <w:sz w:val="18"/>
          <w:szCs w:val="18"/>
          <w:lang w:eastAsia="es-CO"/>
        </w:rPr>
        <w:fldChar w:fldCharType="end"/>
      </w:r>
      <w:bookmarkEnd w:id="82"/>
      <w:r w:rsidRPr="00C6121C">
        <w:rPr>
          <w:rFonts w:ascii="Segoe UI" w:eastAsia="Times New Roman" w:hAnsi="Segoe UI" w:cs="Segoe UI"/>
          <w:color w:val="000000"/>
          <w:sz w:val="20"/>
          <w:szCs w:val="20"/>
          <w:lang w:eastAsia="es-CO"/>
        </w:rPr>
        <w:t xml:space="preserve"> Sentencia del 14 de junio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21061, C.P. 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3" w:name="_ftn28"/>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"_ftnref28"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[28]</w:t>
      </w:r>
      <w:r w:rsidRPr="00C6121C">
        <w:rPr>
          <w:rFonts w:ascii="Arial" w:eastAsia="Times New Roman" w:hAnsi="Arial" w:cs="Arial"/>
          <w:color w:val="000000"/>
          <w:sz w:val="18"/>
          <w:szCs w:val="18"/>
          <w:lang w:eastAsia="es-CO"/>
        </w:rPr>
        <w:fldChar w:fldCharType="end"/>
      </w:r>
      <w:bookmarkEnd w:id="83"/>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32 a 39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4" w:name="_ftn29"/>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"_ftnref29"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[29]</w:t>
      </w:r>
      <w:r w:rsidRPr="00C6121C">
        <w:rPr>
          <w:rFonts w:ascii="Arial" w:eastAsia="Times New Roman" w:hAnsi="Arial" w:cs="Arial"/>
          <w:color w:val="000000"/>
          <w:sz w:val="18"/>
          <w:szCs w:val="18"/>
          <w:lang w:eastAsia="es-CO"/>
        </w:rPr>
        <w:fldChar w:fldCharType="end"/>
      </w:r>
      <w:bookmarkEnd w:id="84"/>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69 a 73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5" w:name="_ftn30"/>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"_ftnref30"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[30]</w:t>
      </w:r>
      <w:r w:rsidRPr="00C6121C">
        <w:rPr>
          <w:rFonts w:ascii="Arial" w:eastAsia="Times New Roman" w:hAnsi="Arial" w:cs="Arial"/>
          <w:color w:val="000000"/>
          <w:sz w:val="18"/>
          <w:szCs w:val="18"/>
          <w:lang w:eastAsia="es-CO"/>
        </w:rPr>
        <w:fldChar w:fldCharType="end"/>
      </w:r>
      <w:bookmarkEnd w:id="85"/>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w:t>
      </w:r>
      <w:proofErr w:type="spellEnd"/>
      <w:r w:rsidRPr="00C6121C">
        <w:rPr>
          <w:rFonts w:ascii="Segoe UI" w:eastAsia="Times New Roman" w:hAnsi="Segoe UI" w:cs="Segoe UI"/>
          <w:color w:val="000000"/>
          <w:sz w:val="20"/>
          <w:szCs w:val="20"/>
          <w:lang w:eastAsia="es-CO"/>
        </w:rPr>
        <w:t xml:space="preserve">. 49 del </w:t>
      </w:r>
      <w:proofErr w:type="spellStart"/>
      <w:r w:rsidRPr="00C6121C">
        <w:rPr>
          <w:rFonts w:ascii="Segoe UI" w:eastAsia="Times New Roman" w:hAnsi="Segoe UI" w:cs="Segoe UI"/>
          <w:color w:val="000000"/>
          <w:sz w:val="20"/>
          <w:szCs w:val="20"/>
          <w:lang w:eastAsia="es-CO"/>
        </w:rPr>
        <w:t>c.p.</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6" w:name="_ftn3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[31]</w:t>
      </w:r>
      <w:r w:rsidRPr="00C6121C">
        <w:rPr>
          <w:rFonts w:ascii="Arial" w:eastAsia="Times New Roman" w:hAnsi="Arial" w:cs="Arial"/>
          <w:color w:val="000000"/>
          <w:sz w:val="18"/>
          <w:szCs w:val="18"/>
          <w:lang w:eastAsia="es-CO"/>
        </w:rPr>
        <w:fldChar w:fldCharType="end"/>
      </w:r>
      <w:bookmarkEnd w:id="86"/>
      <w:r w:rsidRPr="00C6121C">
        <w:rPr>
          <w:rFonts w:ascii="Segoe UI" w:eastAsia="Times New Roman" w:hAnsi="Segoe UI" w:cs="Segoe UI"/>
          <w:color w:val="000000"/>
          <w:sz w:val="20"/>
          <w:szCs w:val="20"/>
          <w:lang w:eastAsia="es-CO"/>
        </w:rPr>
        <w:t xml:space="preserve"> Sentencias del 26 de enero de 2012,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17318, C.P. Hugo Fernando Bastidas Bárcenas y del 4 de octubre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19778, C.P. 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7" w:name="_ftn3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[32]</w:t>
      </w:r>
      <w:r w:rsidRPr="00C6121C">
        <w:rPr>
          <w:rFonts w:ascii="Arial" w:eastAsia="Times New Roman" w:hAnsi="Arial" w:cs="Arial"/>
          <w:color w:val="000000"/>
          <w:sz w:val="18"/>
          <w:szCs w:val="18"/>
          <w:lang w:eastAsia="es-CO"/>
        </w:rPr>
        <w:fldChar w:fldCharType="end"/>
      </w:r>
      <w:bookmarkEnd w:id="87"/>
      <w:r w:rsidRPr="00C6121C">
        <w:rPr>
          <w:rFonts w:ascii="Segoe UI" w:eastAsia="Times New Roman" w:hAnsi="Segoe UI" w:cs="Segoe UI"/>
          <w:color w:val="000000"/>
          <w:sz w:val="20"/>
          <w:szCs w:val="20"/>
          <w:lang w:eastAsia="es-CO"/>
        </w:rPr>
        <w:t> </w:t>
      </w:r>
      <w:hyperlink r:id="rId66" w:tooltip="Estatuto Tributario CETA" w:history="1">
        <w:r w:rsidRPr="00C6121C">
          <w:rPr>
            <w:rFonts w:ascii="Segoe UI" w:eastAsia="Times New Roman" w:hAnsi="Segoe UI" w:cs="Segoe UI"/>
            <w:color w:val="0089E1"/>
            <w:sz w:val="20"/>
            <w:szCs w:val="20"/>
            <w:lang w:eastAsia="es-CO"/>
          </w:rPr>
          <w:t>Artículo 742</w:t>
        </w:r>
      </w:hyperlink>
      <w:r w:rsidRPr="00C6121C">
        <w:rPr>
          <w:rFonts w:ascii="Segoe UI" w:eastAsia="Times New Roman" w:hAnsi="Segoe UI" w:cs="Segoe UI"/>
          <w:color w:val="000000"/>
          <w:sz w:val="20"/>
          <w:szCs w:val="20"/>
          <w:lang w:eastAsia="es-CO"/>
        </w:rPr>
        <w:t> del Estatuto Tributario.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88" w:name="_ftn3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[33]</w:t>
      </w:r>
      <w:r w:rsidRPr="00C6121C">
        <w:rPr>
          <w:rFonts w:ascii="Arial" w:eastAsia="Times New Roman" w:hAnsi="Arial" w:cs="Arial"/>
          <w:color w:val="000000"/>
          <w:sz w:val="18"/>
          <w:szCs w:val="18"/>
          <w:lang w:eastAsia="es-CO"/>
        </w:rPr>
        <w:fldChar w:fldCharType="end"/>
      </w:r>
      <w:bookmarkEnd w:id="88"/>
      <w:r w:rsidRPr="00C6121C">
        <w:rPr>
          <w:rFonts w:ascii="Segoe UI" w:eastAsia="Times New Roman" w:hAnsi="Segoe UI" w:cs="Segoe UI"/>
          <w:color w:val="0089E1"/>
          <w:sz w:val="20"/>
          <w:szCs w:val="20"/>
          <w:lang w:eastAsia="es-CO"/>
        </w:rPr>
        <w:t> </w:t>
      </w:r>
      <w:r w:rsidRPr="00C6121C">
        <w:rPr>
          <w:rFonts w:ascii="Segoe UI" w:eastAsia="Times New Roman" w:hAnsi="Segoe UI" w:cs="Segoe UI"/>
          <w:sz w:val="20"/>
          <w:szCs w:val="20"/>
          <w:lang w:eastAsia="es-CO"/>
        </w:rPr>
        <w:t>Aptitud legal que tiene una prueba para demostrar determinado hecho.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sz w:val="20"/>
          <w:szCs w:val="20"/>
          <w:lang w:eastAsia="es-CO"/>
        </w:rPr>
        <w:t> </w:t>
      </w:r>
    </w:p>
    <w:bookmarkStart w:id="89" w:name="_ftn3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[34]</w:t>
      </w:r>
      <w:r w:rsidRPr="00C6121C">
        <w:rPr>
          <w:rFonts w:ascii="Arial" w:eastAsia="Times New Roman" w:hAnsi="Arial" w:cs="Arial"/>
          <w:color w:val="000000"/>
          <w:sz w:val="18"/>
          <w:szCs w:val="18"/>
          <w:lang w:eastAsia="es-CO"/>
        </w:rPr>
        <w:fldChar w:fldCharType="end"/>
      </w:r>
      <w:bookmarkEnd w:id="89"/>
      <w:r w:rsidRPr="00C6121C">
        <w:rPr>
          <w:rFonts w:ascii="Segoe UI" w:eastAsia="Times New Roman" w:hAnsi="Segoe UI" w:cs="Segoe UI"/>
          <w:color w:val="000000"/>
          <w:sz w:val="20"/>
          <w:szCs w:val="20"/>
          <w:lang w:eastAsia="es-CO"/>
        </w:rPr>
        <w:t> </w:t>
      </w:r>
      <w:r w:rsidRPr="00C6121C">
        <w:rPr>
          <w:rFonts w:ascii="Segoe UI" w:eastAsia="Times New Roman" w:hAnsi="Segoe UI" w:cs="Segoe UI"/>
          <w:i/>
          <w:iCs/>
          <w:color w:val="000000"/>
          <w:sz w:val="20"/>
          <w:szCs w:val="20"/>
          <w:lang w:eastAsia="es-CO"/>
        </w:rPr>
        <w:t>«Por el cual se reglamenta el Estatuto Tributario, la Ley 383 de 1997 y se dictan otras disposiciones».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0" w:name="_ftn3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[35]</w:t>
      </w:r>
      <w:r w:rsidRPr="00C6121C">
        <w:rPr>
          <w:rFonts w:ascii="Arial" w:eastAsia="Times New Roman" w:hAnsi="Arial" w:cs="Arial"/>
          <w:color w:val="000000"/>
          <w:sz w:val="18"/>
          <w:szCs w:val="18"/>
          <w:lang w:eastAsia="es-CO"/>
        </w:rPr>
        <w:fldChar w:fldCharType="end"/>
      </w:r>
      <w:bookmarkEnd w:id="90"/>
      <w:r w:rsidRPr="00C6121C">
        <w:rPr>
          <w:rFonts w:ascii="Segoe UI" w:eastAsia="Times New Roman" w:hAnsi="Segoe UI" w:cs="Segoe UI"/>
          <w:color w:val="000000"/>
          <w:sz w:val="20"/>
          <w:szCs w:val="20"/>
          <w:lang w:eastAsia="es-CO"/>
        </w:rPr>
        <w:t xml:space="preserve"> Sentencia del 25 de junio de 2012,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17844, C.P. Carmen Teresa Ortiz de Rodríguez.</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1" w:name="_ftn3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[36]</w:t>
      </w:r>
      <w:r w:rsidRPr="00C6121C">
        <w:rPr>
          <w:rFonts w:ascii="Arial" w:eastAsia="Times New Roman" w:hAnsi="Arial" w:cs="Arial"/>
          <w:color w:val="000000"/>
          <w:sz w:val="18"/>
          <w:szCs w:val="18"/>
          <w:lang w:eastAsia="es-CO"/>
        </w:rPr>
        <w:fldChar w:fldCharType="end"/>
      </w:r>
      <w:bookmarkEnd w:id="91"/>
      <w:r w:rsidRPr="00C6121C">
        <w:rPr>
          <w:rFonts w:ascii="Segoe UI" w:eastAsia="Times New Roman" w:hAnsi="Segoe UI" w:cs="Segoe UI"/>
          <w:color w:val="000000"/>
          <w:sz w:val="20"/>
          <w:szCs w:val="20"/>
          <w:lang w:eastAsia="es-CO"/>
        </w:rPr>
        <w:t xml:space="preserve"> Sentencia del 24 de agosto de 2017,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20466, C.P. Jorge Octavio Ramírez </w:t>
      </w:r>
      <w:proofErr w:type="spellStart"/>
      <w:r w:rsidRPr="00C6121C">
        <w:rPr>
          <w:rFonts w:ascii="Segoe UI" w:eastAsia="Times New Roman" w:hAnsi="Segoe UI" w:cs="Segoe UI"/>
          <w:color w:val="000000"/>
          <w:sz w:val="20"/>
          <w:szCs w:val="20"/>
          <w:lang w:eastAsia="es-CO"/>
        </w:rPr>
        <w:t>Ramírez</w:t>
      </w:r>
      <w:proofErr w:type="spellEnd"/>
      <w:r w:rsidRPr="00C6121C">
        <w:rPr>
          <w:rFonts w:ascii="Segoe UI" w:eastAsia="Times New Roman" w:hAnsi="Segoe UI" w:cs="Segoe UI"/>
          <w:color w:val="000000"/>
          <w:sz w:val="20"/>
          <w:szCs w:val="20"/>
          <w:lang w:eastAsia="es-CO"/>
        </w:rPr>
        <w:t xml:space="preserve">, reiterada por la sentencia del 9 de agosto de 2018,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22587, C.P. Stella Jeannette Carvajal Basto.</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2" w:name="_ftn37"/>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[37]</w:t>
      </w:r>
      <w:r w:rsidRPr="00C6121C">
        <w:rPr>
          <w:rFonts w:ascii="Arial" w:eastAsia="Times New Roman" w:hAnsi="Arial" w:cs="Arial"/>
          <w:color w:val="000000"/>
          <w:sz w:val="18"/>
          <w:szCs w:val="18"/>
          <w:lang w:eastAsia="es-CO"/>
        </w:rPr>
        <w:fldChar w:fldCharType="end"/>
      </w:r>
      <w:bookmarkEnd w:id="92"/>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hyperlink r:id="rId67" w:tooltip="Estatuto Tributario CETA" w:history="1">
        <w:r w:rsidRPr="00C6121C">
          <w:rPr>
            <w:rFonts w:ascii="Segoe UI" w:eastAsia="Times New Roman" w:hAnsi="Segoe UI" w:cs="Segoe UI"/>
            <w:b/>
            <w:bCs/>
            <w:color w:val="0089E1"/>
            <w:sz w:val="20"/>
            <w:szCs w:val="20"/>
            <w:lang w:eastAsia="es-CO"/>
          </w:rPr>
          <w:t>Art. 381</w:t>
        </w:r>
      </w:hyperlink>
      <w:r w:rsidRPr="00C6121C">
        <w:rPr>
          <w:rFonts w:ascii="Segoe UI" w:eastAsia="Times New Roman" w:hAnsi="Segoe UI" w:cs="Segoe UI"/>
          <w:color w:val="000000"/>
          <w:sz w:val="20"/>
          <w:szCs w:val="20"/>
          <w:lang w:eastAsia="es-CO"/>
        </w:rPr>
        <w:t> </w:t>
      </w:r>
      <w:r w:rsidRPr="00C6121C">
        <w:rPr>
          <w:rFonts w:ascii="Segoe UI" w:eastAsia="Times New Roman" w:hAnsi="Segoe UI" w:cs="Segoe UI"/>
          <w:i/>
          <w:iCs/>
          <w:color w:val="000000"/>
          <w:sz w:val="20"/>
          <w:szCs w:val="20"/>
          <w:lang w:eastAsia="es-CO"/>
        </w:rPr>
        <w:t>«… a) Año gravable y ciudad donde se consignó la retención; b) Apellidos y nombre o razón social y NIT del retenedor; c) Dirección del agente retenedor; d) Apellidos y nombre o razón social y NIT de la persona o entidad a quien se le practicó la retención; e) Monto total y concepto del pago sujeto a retención; f) Concepto y cuantía de a retención efectuada; g) La firma del pagador o agente retenedor».</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bookmarkStart w:id="93" w:name="_ftn38"/>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"_ftnref38"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[38]</w:t>
      </w:r>
      <w:r w:rsidRPr="00C6121C">
        <w:rPr>
          <w:rFonts w:ascii="Arial" w:eastAsia="Times New Roman" w:hAnsi="Arial" w:cs="Arial"/>
          <w:color w:val="000000"/>
          <w:sz w:val="18"/>
          <w:szCs w:val="18"/>
          <w:lang w:eastAsia="es-CO"/>
        </w:rPr>
        <w:fldChar w:fldCharType="end"/>
      </w:r>
      <w:bookmarkEnd w:id="93"/>
      <w:r w:rsidRPr="00C6121C">
        <w:rPr>
          <w:rFonts w:ascii="Segoe UI" w:eastAsia="Times New Roman" w:hAnsi="Segoe UI" w:cs="Segoe UI"/>
          <w:color w:val="000000"/>
          <w:sz w:val="20"/>
          <w:szCs w:val="20"/>
          <w:lang w:eastAsia="es-CO"/>
        </w:rPr>
        <w:t xml:space="preserve"> Sentencia del 31 de mayo de 2012,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18250, C.P. William Giraldo </w:t>
      </w:r>
      <w:proofErr w:type="spellStart"/>
      <w:r w:rsidRPr="00C6121C">
        <w:rPr>
          <w:rFonts w:ascii="Segoe UI" w:eastAsia="Times New Roman" w:hAnsi="Segoe UI" w:cs="Segoe UI"/>
          <w:color w:val="000000"/>
          <w:sz w:val="20"/>
          <w:szCs w:val="20"/>
          <w:lang w:eastAsia="es-CO"/>
        </w:rPr>
        <w:t>Giraldo</w:t>
      </w:r>
      <w:proofErr w:type="spellEnd"/>
      <w:r w:rsidRPr="00C6121C">
        <w:rPr>
          <w:rFonts w:ascii="Segoe UI" w:eastAsia="Times New Roman" w:hAnsi="Segoe UI" w:cs="Segoe UI"/>
          <w:color w:val="000000"/>
          <w:sz w:val="20"/>
          <w:szCs w:val="20"/>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4" w:name="_ftn39"/>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"_ftnref39"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[39]</w:t>
      </w:r>
      <w:r w:rsidRPr="00C6121C">
        <w:rPr>
          <w:rFonts w:ascii="Arial" w:eastAsia="Times New Roman" w:hAnsi="Arial" w:cs="Arial"/>
          <w:color w:val="000000"/>
          <w:sz w:val="18"/>
          <w:szCs w:val="18"/>
          <w:lang w:eastAsia="es-CO"/>
        </w:rPr>
        <w:fldChar w:fldCharType="end"/>
      </w:r>
      <w:bookmarkEnd w:id="94"/>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158 a 513 del </w:t>
      </w:r>
      <w:proofErr w:type="spellStart"/>
      <w:r w:rsidRPr="00C6121C">
        <w:rPr>
          <w:rFonts w:ascii="Segoe UI" w:eastAsia="Times New Roman" w:hAnsi="Segoe UI" w:cs="Segoe UI"/>
          <w:color w:val="000000"/>
          <w:sz w:val="20"/>
          <w:szCs w:val="20"/>
          <w:lang w:eastAsia="es-CO"/>
        </w:rPr>
        <w:t>ca</w:t>
      </w:r>
      <w:proofErr w:type="spellEnd"/>
      <w:r w:rsidRPr="00C6121C">
        <w:rPr>
          <w:rFonts w:ascii="Segoe UI" w:eastAsia="Times New Roman" w:hAnsi="Segoe UI" w:cs="Segoe UI"/>
          <w:color w:val="000000"/>
          <w:sz w:val="20"/>
          <w:szCs w:val="20"/>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5" w:name="_ftn40"/>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"_ftnref40"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[40]</w:t>
      </w:r>
      <w:r w:rsidRPr="00C6121C">
        <w:rPr>
          <w:rFonts w:ascii="Arial" w:eastAsia="Times New Roman" w:hAnsi="Arial" w:cs="Arial"/>
          <w:color w:val="000000"/>
          <w:sz w:val="18"/>
          <w:szCs w:val="18"/>
          <w:lang w:eastAsia="es-CO"/>
        </w:rPr>
        <w:fldChar w:fldCharType="end"/>
      </w:r>
      <w:bookmarkEnd w:id="95"/>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159 a 203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6" w:name="_ftn4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[41]</w:t>
      </w:r>
      <w:r w:rsidRPr="00C6121C">
        <w:rPr>
          <w:rFonts w:ascii="Arial" w:eastAsia="Times New Roman" w:hAnsi="Arial" w:cs="Arial"/>
          <w:color w:val="000000"/>
          <w:sz w:val="18"/>
          <w:szCs w:val="18"/>
          <w:lang w:eastAsia="es-CO"/>
        </w:rPr>
        <w:fldChar w:fldCharType="end"/>
      </w:r>
      <w:bookmarkEnd w:id="96"/>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203 a 278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7" w:name="_ftn4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[42]</w:t>
      </w:r>
      <w:r w:rsidRPr="00C6121C">
        <w:rPr>
          <w:rFonts w:ascii="Arial" w:eastAsia="Times New Roman" w:hAnsi="Arial" w:cs="Arial"/>
          <w:color w:val="000000"/>
          <w:sz w:val="18"/>
          <w:szCs w:val="18"/>
          <w:lang w:eastAsia="es-CO"/>
        </w:rPr>
        <w:fldChar w:fldCharType="end"/>
      </w:r>
      <w:bookmarkEnd w:id="97"/>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279 a 331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8" w:name="_ftn4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[43]</w:t>
      </w:r>
      <w:r w:rsidRPr="00C6121C">
        <w:rPr>
          <w:rFonts w:ascii="Arial" w:eastAsia="Times New Roman" w:hAnsi="Arial" w:cs="Arial"/>
          <w:color w:val="000000"/>
          <w:sz w:val="18"/>
          <w:szCs w:val="18"/>
          <w:lang w:eastAsia="es-CO"/>
        </w:rPr>
        <w:fldChar w:fldCharType="end"/>
      </w:r>
      <w:bookmarkEnd w:id="98"/>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331 a 334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99" w:name="_ftn4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[44]</w:t>
      </w:r>
      <w:r w:rsidRPr="00C6121C">
        <w:rPr>
          <w:rFonts w:ascii="Arial" w:eastAsia="Times New Roman" w:hAnsi="Arial" w:cs="Arial"/>
          <w:color w:val="000000"/>
          <w:sz w:val="18"/>
          <w:szCs w:val="18"/>
          <w:lang w:eastAsia="es-CO"/>
        </w:rPr>
        <w:fldChar w:fldCharType="end"/>
      </w:r>
      <w:bookmarkEnd w:id="99"/>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336 a 482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0" w:name="_ftn4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[45]</w:t>
      </w:r>
      <w:r w:rsidRPr="00C6121C">
        <w:rPr>
          <w:rFonts w:ascii="Arial" w:eastAsia="Times New Roman" w:hAnsi="Arial" w:cs="Arial"/>
          <w:color w:val="000000"/>
          <w:sz w:val="18"/>
          <w:szCs w:val="18"/>
          <w:lang w:eastAsia="es-CO"/>
        </w:rPr>
        <w:fldChar w:fldCharType="end"/>
      </w:r>
      <w:bookmarkEnd w:id="100"/>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483 a 485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1" w:name="_ftn4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[46]</w:t>
      </w:r>
      <w:r w:rsidRPr="00C6121C">
        <w:rPr>
          <w:rFonts w:ascii="Arial" w:eastAsia="Times New Roman" w:hAnsi="Arial" w:cs="Arial"/>
          <w:color w:val="000000"/>
          <w:sz w:val="18"/>
          <w:szCs w:val="18"/>
          <w:lang w:eastAsia="es-CO"/>
        </w:rPr>
        <w:fldChar w:fldCharType="end"/>
      </w:r>
      <w:bookmarkEnd w:id="101"/>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486, 495 y 496.</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2" w:name="_ftn47"/>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lastRenderedPageBreak/>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"_ftnref47"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[47]</w:t>
      </w:r>
      <w:r w:rsidRPr="00C6121C">
        <w:rPr>
          <w:rFonts w:ascii="Arial" w:eastAsia="Times New Roman" w:hAnsi="Arial" w:cs="Arial"/>
          <w:color w:val="000000"/>
          <w:sz w:val="18"/>
          <w:szCs w:val="18"/>
          <w:lang w:eastAsia="es-CO"/>
        </w:rPr>
        <w:fldChar w:fldCharType="end"/>
      </w:r>
      <w:bookmarkEnd w:id="102"/>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498 a 501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3" w:name="_ftn48"/>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"_ftnref48"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[48]</w:t>
      </w:r>
      <w:r w:rsidRPr="00C6121C">
        <w:rPr>
          <w:rFonts w:ascii="Arial" w:eastAsia="Times New Roman" w:hAnsi="Arial" w:cs="Arial"/>
          <w:color w:val="000000"/>
          <w:sz w:val="18"/>
          <w:szCs w:val="18"/>
          <w:lang w:eastAsia="es-CO"/>
        </w:rPr>
        <w:fldChar w:fldCharType="end"/>
      </w:r>
      <w:bookmarkEnd w:id="103"/>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507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4" w:name="_ftn49"/>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"_ftnref49"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[49]</w:t>
      </w:r>
      <w:r w:rsidRPr="00C6121C">
        <w:rPr>
          <w:rFonts w:ascii="Arial" w:eastAsia="Times New Roman" w:hAnsi="Arial" w:cs="Arial"/>
          <w:color w:val="000000"/>
          <w:sz w:val="18"/>
          <w:szCs w:val="18"/>
          <w:lang w:eastAsia="es-CO"/>
        </w:rPr>
        <w:fldChar w:fldCharType="end"/>
      </w:r>
      <w:bookmarkEnd w:id="104"/>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508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5" w:name="_ftn50"/>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"_ftnref50"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[50]</w:t>
      </w:r>
      <w:r w:rsidRPr="00C6121C">
        <w:rPr>
          <w:rFonts w:ascii="Arial" w:eastAsia="Times New Roman" w:hAnsi="Arial" w:cs="Arial"/>
          <w:color w:val="000000"/>
          <w:sz w:val="18"/>
          <w:szCs w:val="18"/>
          <w:lang w:eastAsia="es-CO"/>
        </w:rPr>
        <w:fldChar w:fldCharType="end"/>
      </w:r>
      <w:bookmarkEnd w:id="105"/>
      <w:r w:rsidRPr="00C6121C">
        <w:rPr>
          <w:rFonts w:ascii="Segoe UI" w:eastAsia="Times New Roman" w:hAnsi="Segoe UI" w:cs="Segoe UI"/>
          <w:color w:val="000000"/>
          <w:sz w:val="20"/>
          <w:szCs w:val="20"/>
          <w:lang w:eastAsia="es-CO"/>
        </w:rPr>
        <w:t> </w:t>
      </w:r>
      <w:proofErr w:type="spellStart"/>
      <w:r w:rsidRPr="00C6121C">
        <w:rPr>
          <w:rFonts w:ascii="Segoe UI" w:eastAsia="Times New Roman" w:hAnsi="Segoe UI" w:cs="Segoe UI"/>
          <w:color w:val="000000"/>
          <w:sz w:val="20"/>
          <w:szCs w:val="20"/>
          <w:lang w:eastAsia="es-CO"/>
        </w:rPr>
        <w:t>Fls</w:t>
      </w:r>
      <w:proofErr w:type="spellEnd"/>
      <w:r w:rsidRPr="00C6121C">
        <w:rPr>
          <w:rFonts w:ascii="Segoe UI" w:eastAsia="Times New Roman" w:hAnsi="Segoe UI" w:cs="Segoe UI"/>
          <w:color w:val="000000"/>
          <w:sz w:val="20"/>
          <w:szCs w:val="20"/>
          <w:lang w:eastAsia="es-CO"/>
        </w:rPr>
        <w:t xml:space="preserve">. 510 a 512 del </w:t>
      </w:r>
      <w:proofErr w:type="spellStart"/>
      <w:r w:rsidRPr="00C6121C">
        <w:rPr>
          <w:rFonts w:ascii="Segoe UI" w:eastAsia="Times New Roman" w:hAnsi="Segoe UI" w:cs="Segoe UI"/>
          <w:color w:val="000000"/>
          <w:sz w:val="20"/>
          <w:szCs w:val="20"/>
          <w:lang w:eastAsia="es-CO"/>
        </w:rPr>
        <w:t>c.a.</w:t>
      </w:r>
      <w:proofErr w:type="spellEnd"/>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6" w:name="_ftn51"/>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"_ftnref51"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[51]</w:t>
      </w:r>
      <w:r w:rsidRPr="00C6121C">
        <w:rPr>
          <w:rFonts w:ascii="Arial" w:eastAsia="Times New Roman" w:hAnsi="Arial" w:cs="Arial"/>
          <w:color w:val="000000"/>
          <w:sz w:val="18"/>
          <w:szCs w:val="18"/>
          <w:lang w:eastAsia="es-CO"/>
        </w:rPr>
        <w:fldChar w:fldCharType="end"/>
      </w:r>
      <w:bookmarkEnd w:id="106"/>
      <w:r w:rsidRPr="00C6121C">
        <w:rPr>
          <w:rFonts w:ascii="Segoe UI" w:eastAsia="Times New Roman" w:hAnsi="Segoe UI" w:cs="Segoe UI"/>
          <w:color w:val="000000"/>
          <w:sz w:val="20"/>
          <w:szCs w:val="20"/>
          <w:lang w:eastAsia="es-CO"/>
        </w:rPr>
        <w:t> Respuesta al requerimiento ordinario, RUT y declaración de renta.</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7" w:name="_ftn52"/>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"_ftnref52"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[52]</w:t>
      </w:r>
      <w:r w:rsidRPr="00C6121C">
        <w:rPr>
          <w:rFonts w:ascii="Arial" w:eastAsia="Times New Roman" w:hAnsi="Arial" w:cs="Arial"/>
          <w:color w:val="000000"/>
          <w:sz w:val="18"/>
          <w:szCs w:val="18"/>
          <w:lang w:eastAsia="es-CO"/>
        </w:rPr>
        <w:fldChar w:fldCharType="end"/>
      </w:r>
      <w:bookmarkEnd w:id="107"/>
      <w:r w:rsidRPr="00C6121C">
        <w:rPr>
          <w:rFonts w:ascii="Segoe UI" w:eastAsia="Times New Roman" w:hAnsi="Segoe UI" w:cs="Segoe UI"/>
          <w:color w:val="000000"/>
          <w:sz w:val="20"/>
          <w:szCs w:val="20"/>
          <w:lang w:eastAsia="es-CO"/>
        </w:rPr>
        <w:t xml:space="preserve"> En igual sentido se pronunció esta Sala en sentencias del 4 de agosto de 2011,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17628 C.P. Martha Teresa Briceño de Valencia, del 26 de febrero de 2014,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19090, y del 19 de mayo de 2016,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21185, C.P. Jorge Octavio Ramírez </w:t>
      </w:r>
      <w:proofErr w:type="spellStart"/>
      <w:r w:rsidRPr="00C6121C">
        <w:rPr>
          <w:rFonts w:ascii="Segoe UI" w:eastAsia="Times New Roman" w:hAnsi="Segoe UI" w:cs="Segoe UI"/>
          <w:color w:val="000000"/>
          <w:sz w:val="20"/>
          <w:szCs w:val="20"/>
          <w:lang w:eastAsia="es-CO"/>
        </w:rPr>
        <w:t>Ramírez</w:t>
      </w:r>
      <w:proofErr w:type="spellEnd"/>
      <w:r w:rsidRPr="00C6121C">
        <w:rPr>
          <w:rFonts w:ascii="Segoe UI" w:eastAsia="Times New Roman" w:hAnsi="Segoe UI" w:cs="Segoe UI"/>
          <w:color w:val="000000"/>
          <w:sz w:val="20"/>
          <w:szCs w:val="20"/>
          <w:lang w:eastAsia="es-CO"/>
        </w:rPr>
        <w:t>.</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8" w:name="_ftn53"/>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"_ftnref53"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[53]</w:t>
      </w:r>
      <w:r w:rsidRPr="00C6121C">
        <w:rPr>
          <w:rFonts w:ascii="Arial" w:eastAsia="Times New Roman" w:hAnsi="Arial" w:cs="Arial"/>
          <w:color w:val="000000"/>
          <w:sz w:val="18"/>
          <w:szCs w:val="18"/>
          <w:lang w:eastAsia="es-CO"/>
        </w:rPr>
        <w:fldChar w:fldCharType="end"/>
      </w:r>
      <w:bookmarkEnd w:id="108"/>
      <w:r w:rsidRPr="00C6121C">
        <w:rPr>
          <w:rFonts w:ascii="Segoe UI" w:eastAsia="Times New Roman" w:hAnsi="Segoe UI" w:cs="Segoe UI"/>
          <w:color w:val="000000"/>
          <w:sz w:val="20"/>
          <w:szCs w:val="20"/>
          <w:lang w:eastAsia="es-CO"/>
        </w:rPr>
        <w:t xml:space="preserve"> Se reitera el criterio expuesto por la Sala en sentencias del 20 de febrero de 2017,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xml:space="preserve">. 20623, C.P. Hugo Fernando Bastidas Bárcenas (E) y 9 de marzo de 2017, </w:t>
      </w:r>
      <w:proofErr w:type="spellStart"/>
      <w:r w:rsidRPr="00C6121C">
        <w:rPr>
          <w:rFonts w:ascii="Segoe UI" w:eastAsia="Times New Roman" w:hAnsi="Segoe UI" w:cs="Segoe UI"/>
          <w:color w:val="000000"/>
          <w:sz w:val="20"/>
          <w:szCs w:val="20"/>
          <w:lang w:eastAsia="es-CO"/>
        </w:rPr>
        <w:t>Exp</w:t>
      </w:r>
      <w:proofErr w:type="spellEnd"/>
      <w:r w:rsidRPr="00C6121C">
        <w:rPr>
          <w:rFonts w:ascii="Segoe UI" w:eastAsia="Times New Roman" w:hAnsi="Segoe UI" w:cs="Segoe UI"/>
          <w:color w:val="000000"/>
          <w:sz w:val="20"/>
          <w:szCs w:val="20"/>
          <w:lang w:eastAsia="es-CO"/>
        </w:rPr>
        <w:t>. 19823, C.P. Stella Jeannette Carvajal Basto, entre otras.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color w:val="000000"/>
          <w:sz w:val="20"/>
          <w:szCs w:val="20"/>
          <w:lang w:eastAsia="es-CO"/>
        </w:rPr>
        <w:t> </w:t>
      </w:r>
    </w:p>
    <w:bookmarkStart w:id="109" w:name="_ftn54"/>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"_ftnref54"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[54]</w:t>
      </w:r>
      <w:r w:rsidRPr="00C6121C">
        <w:rPr>
          <w:rFonts w:ascii="Arial" w:eastAsia="Times New Roman" w:hAnsi="Arial" w:cs="Arial"/>
          <w:color w:val="000000"/>
          <w:sz w:val="18"/>
          <w:szCs w:val="18"/>
          <w:lang w:eastAsia="es-CO"/>
        </w:rPr>
        <w:fldChar w:fldCharType="end"/>
      </w:r>
      <w:bookmarkEnd w:id="109"/>
      <w:r w:rsidRPr="00C6121C">
        <w:rPr>
          <w:rFonts w:ascii="Segoe UI" w:eastAsia="Times New Roman" w:hAnsi="Segoe UI" w:cs="Segoe UI"/>
          <w:color w:val="000000"/>
          <w:sz w:val="20"/>
          <w:szCs w:val="20"/>
          <w:lang w:eastAsia="es-CO"/>
        </w:rPr>
        <w:t> </w:t>
      </w:r>
      <w:r w:rsidRPr="00C6121C">
        <w:rPr>
          <w:rFonts w:ascii="Segoe UI" w:eastAsia="Times New Roman" w:hAnsi="Segoe UI" w:cs="Segoe UI"/>
          <w:i/>
          <w:iCs/>
          <w:color w:val="000000"/>
          <w:sz w:val="20"/>
          <w:szCs w:val="20"/>
          <w:lang w:eastAsia="es-CO"/>
        </w:rPr>
        <w:t>«Por medio de la cual se adopta una reforma tributaria estructural, se fortalecen los mecanismos para la lucha contra la evasión y la elusión fiscal y se dictan otras disposiciones».</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bookmarkStart w:id="110" w:name="_ftn55"/>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"_ftnref55"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[55]</w:t>
      </w:r>
      <w:r w:rsidRPr="00C6121C">
        <w:rPr>
          <w:rFonts w:ascii="Arial" w:eastAsia="Times New Roman" w:hAnsi="Arial" w:cs="Arial"/>
          <w:color w:val="000000"/>
          <w:sz w:val="18"/>
          <w:szCs w:val="18"/>
          <w:lang w:eastAsia="es-CO"/>
        </w:rPr>
        <w:fldChar w:fldCharType="end"/>
      </w:r>
      <w:bookmarkEnd w:id="110"/>
      <w:r w:rsidRPr="00C6121C">
        <w:rPr>
          <w:rFonts w:ascii="Segoe UI" w:eastAsia="Times New Roman" w:hAnsi="Segoe UI" w:cs="Segoe UI"/>
          <w:color w:val="000000"/>
          <w:sz w:val="20"/>
          <w:szCs w:val="20"/>
          <w:lang w:eastAsia="es-CO"/>
        </w:rPr>
        <w:t> </w:t>
      </w:r>
      <w:r w:rsidRPr="00C6121C">
        <w:rPr>
          <w:rFonts w:ascii="Segoe UI" w:eastAsia="Times New Roman" w:hAnsi="Segoe UI" w:cs="Segoe UI"/>
          <w:b/>
          <w:bCs/>
          <w:color w:val="000000"/>
          <w:sz w:val="20"/>
          <w:szCs w:val="20"/>
          <w:lang w:eastAsia="es-CO"/>
        </w:rPr>
        <w:t>E.T. </w:t>
      </w:r>
      <w:r w:rsidRPr="00C6121C">
        <w:rPr>
          <w:rFonts w:ascii="Segoe UI" w:eastAsia="Times New Roman" w:hAnsi="Segoe UI" w:cs="Segoe UI"/>
          <w:b/>
          <w:bCs/>
          <w:i/>
          <w:iCs/>
          <w:color w:val="000000"/>
          <w:sz w:val="20"/>
          <w:szCs w:val="20"/>
          <w:lang w:eastAsia="es-CO"/>
        </w:rPr>
        <w:t>«</w:t>
      </w:r>
      <w:hyperlink r:id="rId68" w:tooltip="Estatuto Tributario CETA" w:history="1">
        <w:r w:rsidRPr="00C6121C">
          <w:rPr>
            <w:rFonts w:ascii="Segoe UI" w:eastAsia="Times New Roman" w:hAnsi="Segoe UI" w:cs="Segoe UI"/>
            <w:b/>
            <w:bCs/>
            <w:i/>
            <w:iCs/>
            <w:color w:val="0089E1"/>
            <w:sz w:val="20"/>
            <w:szCs w:val="20"/>
            <w:lang w:eastAsia="es-CO"/>
          </w:rPr>
          <w:t>Artículo 647</w:t>
        </w:r>
      </w:hyperlink>
      <w:r w:rsidRPr="00C6121C">
        <w:rPr>
          <w:rFonts w:ascii="Segoe UI" w:eastAsia="Times New Roman" w:hAnsi="Segoe UI" w:cs="Segoe UI"/>
          <w:b/>
          <w:bCs/>
          <w:i/>
          <w:iCs/>
          <w:color w:val="000000"/>
          <w:sz w:val="20"/>
          <w:szCs w:val="20"/>
          <w:lang w:eastAsia="es-CO"/>
        </w:rPr>
        <w:t>. Sanción por inexactitud.</w:t>
      </w:r>
      <w:r w:rsidRPr="00C6121C">
        <w:rPr>
          <w:rFonts w:ascii="Segoe UI" w:eastAsia="Times New Roman" w:hAnsi="Segoe UI" w:cs="Segoe UI"/>
          <w:i/>
          <w:iCs/>
          <w:color w:val="000000"/>
          <w:sz w:val="20"/>
          <w:szCs w:val="20"/>
          <w:lang w:eastAsia="es-CO"/>
        </w:rPr>
        <w:t> (…) </w:t>
      </w:r>
      <w:r w:rsidRPr="00C6121C">
        <w:rPr>
          <w:rFonts w:ascii="Segoe UI" w:eastAsia="Times New Roman" w:hAnsi="Segoe UI" w:cs="Segoe UI"/>
          <w:i/>
          <w:iCs/>
          <w:color w:val="000000"/>
          <w:sz w:val="20"/>
          <w:szCs w:val="20"/>
          <w:u w:val="single"/>
          <w:lang w:eastAsia="es-CO"/>
        </w:rPr>
        <w:t>La sanción por inexactitud será equivalente al ciento sesenta por ciento (160%)</w:t>
      </w:r>
      <w:r w:rsidRPr="00C6121C">
        <w:rPr>
          <w:rFonts w:ascii="Segoe UI" w:eastAsia="Times New Roman" w:hAnsi="Segoe UI" w:cs="Segoe UI"/>
          <w:i/>
          <w:iCs/>
          <w:color w:val="000000"/>
          <w:sz w:val="20"/>
          <w:szCs w:val="20"/>
          <w:lang w:eastAsia="es-CO"/>
        </w:rPr>
        <w:t>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Segoe UI" w:eastAsia="Times New Roman" w:hAnsi="Segoe UI" w:cs="Segoe UI"/>
          <w:i/>
          <w:iCs/>
          <w:color w:val="000000"/>
          <w:sz w:val="20"/>
          <w:szCs w:val="20"/>
          <w:lang w:eastAsia="es-CO"/>
        </w:rPr>
        <w:t> </w:t>
      </w:r>
    </w:p>
    <w:bookmarkStart w:id="111" w:name="_ftn56"/>
    <w:p w:rsidR="00C6121C" w:rsidRPr="00C6121C" w:rsidRDefault="00C6121C" w:rsidP="00C6121C">
      <w:pPr>
        <w:spacing w:after="0" w:line="240" w:lineRule="auto"/>
        <w:jc w:val="both"/>
        <w:rPr>
          <w:rFonts w:ascii="Arial" w:eastAsia="Times New Roman" w:hAnsi="Arial" w:cs="Arial"/>
          <w:color w:val="000000"/>
          <w:sz w:val="18"/>
          <w:szCs w:val="18"/>
          <w:lang w:eastAsia="es-CO"/>
        </w:rPr>
      </w:pPr>
      <w:r w:rsidRPr="00C6121C">
        <w:rPr>
          <w:rFonts w:ascii="Arial" w:eastAsia="Times New Roman" w:hAnsi="Arial" w:cs="Arial"/>
          <w:color w:val="000000"/>
          <w:sz w:val="18"/>
          <w:szCs w:val="18"/>
          <w:lang w:eastAsia="es-CO"/>
        </w:rPr>
        <w:fldChar w:fldCharType="begin"/>
      </w:r>
      <w:r w:rsidRPr="00C6121C">
        <w:rPr>
          <w:rFonts w:ascii="Arial" w:eastAsia="Times New Roman" w:hAnsi="Arial" w:cs="Arial"/>
          <w:color w:val="000000"/>
          <w:sz w:val="18"/>
          <w:szCs w:val="18"/>
          <w:lang w:eastAsia="es-CO"/>
        </w:rPr>
        <w:instrText xml:space="preserve"> HYPERLINK "https://www.ceta.org.co/html/vista_de_un_documento.asp?DocumentoID=36133" \l "_ftnref56" \o "" </w:instrText>
      </w:r>
      <w:r w:rsidRPr="00C6121C">
        <w:rPr>
          <w:rFonts w:ascii="Arial" w:eastAsia="Times New Roman" w:hAnsi="Arial" w:cs="Arial"/>
          <w:color w:val="000000"/>
          <w:sz w:val="18"/>
          <w:szCs w:val="18"/>
          <w:lang w:eastAsia="es-CO"/>
        </w:rPr>
        <w:fldChar w:fldCharType="separate"/>
      </w:r>
      <w:r w:rsidRPr="00C6121C">
        <w:rPr>
          <w:rFonts w:ascii="Segoe UI" w:eastAsia="Times New Roman" w:hAnsi="Segoe UI" w:cs="Segoe UI"/>
          <w:color w:val="0089E1"/>
          <w:sz w:val="20"/>
          <w:szCs w:val="20"/>
          <w:lang w:eastAsia="es-CO"/>
        </w:rPr>
        <w:t>[56]</w:t>
      </w:r>
      <w:r w:rsidRPr="00C6121C">
        <w:rPr>
          <w:rFonts w:ascii="Arial" w:eastAsia="Times New Roman" w:hAnsi="Arial" w:cs="Arial"/>
          <w:color w:val="000000"/>
          <w:sz w:val="18"/>
          <w:szCs w:val="18"/>
          <w:lang w:eastAsia="es-CO"/>
        </w:rPr>
        <w:fldChar w:fldCharType="end"/>
      </w:r>
      <w:bookmarkEnd w:id="111"/>
      <w:r w:rsidRPr="00C6121C">
        <w:rPr>
          <w:rFonts w:ascii="Segoe UI" w:eastAsia="Times New Roman" w:hAnsi="Segoe UI" w:cs="Segoe UI"/>
          <w:color w:val="000000"/>
          <w:sz w:val="20"/>
          <w:szCs w:val="20"/>
          <w:lang w:eastAsia="es-CO"/>
        </w:rPr>
        <w:t> Artículo 288 de la Ley 1819 de 2016, que modificó el </w:t>
      </w:r>
      <w:hyperlink r:id="rId69" w:tooltip="Estatuto Tributario CETA" w:history="1">
        <w:r w:rsidRPr="00C6121C">
          <w:rPr>
            <w:rFonts w:ascii="Segoe UI" w:eastAsia="Times New Roman" w:hAnsi="Segoe UI" w:cs="Segoe UI"/>
            <w:color w:val="0089E1"/>
            <w:sz w:val="20"/>
            <w:szCs w:val="20"/>
            <w:lang w:eastAsia="es-CO"/>
          </w:rPr>
          <w:t>artículo 648</w:t>
        </w:r>
      </w:hyperlink>
      <w:r w:rsidRPr="00C6121C">
        <w:rPr>
          <w:rFonts w:ascii="Segoe UI" w:eastAsia="Times New Roman" w:hAnsi="Segoe UI" w:cs="Segoe UI"/>
          <w:color w:val="000000"/>
          <w:sz w:val="20"/>
          <w:szCs w:val="20"/>
          <w:lang w:eastAsia="es-CO"/>
        </w:rPr>
        <w:t> del E.T.</w:t>
      </w:r>
    </w:p>
    <w:p w:rsidR="00730617" w:rsidRDefault="00730617">
      <w:bookmarkStart w:id="112" w:name="_GoBack"/>
      <w:bookmarkEnd w:id="112"/>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1C"/>
    <w:rsid w:val="00730617"/>
    <w:rsid w:val="00A45230"/>
    <w:rsid w:val="00C61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4CF6-12E1-4EC4-82E3-E348136C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6121C"/>
  </w:style>
  <w:style w:type="paragraph" w:customStyle="1" w:styleId="msonormal0">
    <w:name w:val="msonormal"/>
    <w:basedOn w:val="Normal"/>
    <w:rsid w:val="00C6121C"/>
    <w:pPr>
      <w:spacing w:before="100" w:beforeAutospacing="1" w:after="100" w:afterAutospacing="1" w:line="240" w:lineRule="auto"/>
    </w:pPr>
    <w:rPr>
      <w:rFonts w:eastAsia="Times New Roman" w:cs="Times New Roman"/>
      <w:szCs w:val="24"/>
      <w:lang w:eastAsia="es-CO"/>
    </w:rPr>
  </w:style>
  <w:style w:type="paragraph" w:styleId="Sinespaciado">
    <w:name w:val="No Spacing"/>
    <w:basedOn w:val="Normal"/>
    <w:uiPriority w:val="1"/>
    <w:qFormat/>
    <w:rsid w:val="00C6121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6121C"/>
    <w:rPr>
      <w:color w:val="0000FF"/>
      <w:u w:val="single"/>
    </w:rPr>
  </w:style>
  <w:style w:type="character" w:styleId="Hipervnculovisitado">
    <w:name w:val="FollowedHyperlink"/>
    <w:basedOn w:val="Fuentedeprrafopredeter"/>
    <w:uiPriority w:val="99"/>
    <w:semiHidden/>
    <w:unhideWhenUsed/>
    <w:rsid w:val="00C6121C"/>
    <w:rPr>
      <w:color w:val="800080"/>
      <w:u w:val="single"/>
    </w:rPr>
  </w:style>
  <w:style w:type="character" w:styleId="Refdenotaalpie">
    <w:name w:val="footnote reference"/>
    <w:basedOn w:val="Fuentedeprrafopredeter"/>
    <w:uiPriority w:val="99"/>
    <w:semiHidden/>
    <w:unhideWhenUsed/>
    <w:rsid w:val="00C6121C"/>
  </w:style>
  <w:style w:type="character" w:customStyle="1" w:styleId="ettooltip">
    <w:name w:val="ettooltip"/>
    <w:basedOn w:val="Fuentedeprrafopredeter"/>
    <w:rsid w:val="00C6121C"/>
  </w:style>
  <w:style w:type="paragraph" w:customStyle="1" w:styleId="default">
    <w:name w:val="default"/>
    <w:basedOn w:val="Normal"/>
    <w:rsid w:val="00C6121C"/>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C6121C"/>
    <w:pPr>
      <w:spacing w:before="100" w:beforeAutospacing="1" w:after="100" w:afterAutospacing="1" w:line="240" w:lineRule="auto"/>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C6121C"/>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C6121C"/>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6324">
      <w:bodyDiv w:val="1"/>
      <w:marLeft w:val="0"/>
      <w:marRight w:val="0"/>
      <w:marTop w:val="0"/>
      <w:marBottom w:val="0"/>
      <w:divBdr>
        <w:top w:val="none" w:sz="0" w:space="0" w:color="auto"/>
        <w:left w:val="none" w:sz="0" w:space="0" w:color="auto"/>
        <w:bottom w:val="none" w:sz="0" w:space="0" w:color="auto"/>
        <w:right w:val="none" w:sz="0" w:space="0" w:color="auto"/>
      </w:divBdr>
      <w:divsChild>
        <w:div w:id="1899978714">
          <w:marLeft w:val="0"/>
          <w:marRight w:val="0"/>
          <w:marTop w:val="0"/>
          <w:marBottom w:val="0"/>
          <w:divBdr>
            <w:top w:val="none" w:sz="0" w:space="0" w:color="auto"/>
            <w:left w:val="none" w:sz="0" w:space="0" w:color="auto"/>
            <w:bottom w:val="none" w:sz="0" w:space="0" w:color="auto"/>
            <w:right w:val="none" w:sz="0" w:space="0" w:color="auto"/>
          </w:divBdr>
        </w:div>
        <w:div w:id="1334457645">
          <w:marLeft w:val="0"/>
          <w:marRight w:val="0"/>
          <w:marTop w:val="0"/>
          <w:marBottom w:val="0"/>
          <w:divBdr>
            <w:top w:val="none" w:sz="0" w:space="0" w:color="auto"/>
            <w:left w:val="none" w:sz="0" w:space="0" w:color="auto"/>
            <w:bottom w:val="none" w:sz="0" w:space="0" w:color="auto"/>
            <w:right w:val="none" w:sz="0" w:space="0" w:color="auto"/>
          </w:divBdr>
        </w:div>
        <w:div w:id="102001174">
          <w:marLeft w:val="0"/>
          <w:marRight w:val="0"/>
          <w:marTop w:val="0"/>
          <w:marBottom w:val="0"/>
          <w:divBdr>
            <w:top w:val="none" w:sz="0" w:space="0" w:color="auto"/>
            <w:left w:val="none" w:sz="0" w:space="0" w:color="auto"/>
            <w:bottom w:val="none" w:sz="0" w:space="0" w:color="auto"/>
            <w:right w:val="none" w:sz="0" w:space="0" w:color="auto"/>
          </w:divBdr>
        </w:div>
        <w:div w:id="2065450713">
          <w:marLeft w:val="0"/>
          <w:marRight w:val="0"/>
          <w:marTop w:val="0"/>
          <w:marBottom w:val="0"/>
          <w:divBdr>
            <w:top w:val="none" w:sz="0" w:space="0" w:color="auto"/>
            <w:left w:val="none" w:sz="0" w:space="0" w:color="auto"/>
            <w:bottom w:val="none" w:sz="0" w:space="0" w:color="auto"/>
            <w:right w:val="none" w:sz="0" w:space="0" w:color="auto"/>
          </w:divBdr>
        </w:div>
        <w:div w:id="250354027">
          <w:marLeft w:val="0"/>
          <w:marRight w:val="0"/>
          <w:marTop w:val="0"/>
          <w:marBottom w:val="0"/>
          <w:divBdr>
            <w:top w:val="none" w:sz="0" w:space="0" w:color="auto"/>
            <w:left w:val="none" w:sz="0" w:space="0" w:color="auto"/>
            <w:bottom w:val="none" w:sz="0" w:space="0" w:color="auto"/>
            <w:right w:val="none" w:sz="0" w:space="0" w:color="auto"/>
          </w:divBdr>
        </w:div>
        <w:div w:id="967664888">
          <w:marLeft w:val="0"/>
          <w:marRight w:val="0"/>
          <w:marTop w:val="0"/>
          <w:marBottom w:val="0"/>
          <w:divBdr>
            <w:top w:val="none" w:sz="0" w:space="0" w:color="auto"/>
            <w:left w:val="none" w:sz="0" w:space="0" w:color="auto"/>
            <w:bottom w:val="none" w:sz="0" w:space="0" w:color="auto"/>
            <w:right w:val="none" w:sz="0" w:space="0" w:color="auto"/>
          </w:divBdr>
        </w:div>
        <w:div w:id="706878045">
          <w:marLeft w:val="0"/>
          <w:marRight w:val="0"/>
          <w:marTop w:val="0"/>
          <w:marBottom w:val="0"/>
          <w:divBdr>
            <w:top w:val="none" w:sz="0" w:space="0" w:color="auto"/>
            <w:left w:val="none" w:sz="0" w:space="0" w:color="auto"/>
            <w:bottom w:val="none" w:sz="0" w:space="0" w:color="auto"/>
            <w:right w:val="none" w:sz="0" w:space="0" w:color="auto"/>
          </w:divBdr>
        </w:div>
        <w:div w:id="8913992">
          <w:marLeft w:val="0"/>
          <w:marRight w:val="0"/>
          <w:marTop w:val="0"/>
          <w:marBottom w:val="0"/>
          <w:divBdr>
            <w:top w:val="none" w:sz="0" w:space="0" w:color="auto"/>
            <w:left w:val="none" w:sz="0" w:space="0" w:color="auto"/>
            <w:bottom w:val="none" w:sz="0" w:space="0" w:color="auto"/>
            <w:right w:val="none" w:sz="0" w:space="0" w:color="auto"/>
          </w:divBdr>
        </w:div>
        <w:div w:id="1315985554">
          <w:marLeft w:val="0"/>
          <w:marRight w:val="0"/>
          <w:marTop w:val="0"/>
          <w:marBottom w:val="0"/>
          <w:divBdr>
            <w:top w:val="none" w:sz="0" w:space="0" w:color="auto"/>
            <w:left w:val="none" w:sz="0" w:space="0" w:color="auto"/>
            <w:bottom w:val="none" w:sz="0" w:space="0" w:color="auto"/>
            <w:right w:val="none" w:sz="0" w:space="0" w:color="auto"/>
          </w:divBdr>
        </w:div>
        <w:div w:id="1844469671">
          <w:marLeft w:val="0"/>
          <w:marRight w:val="0"/>
          <w:marTop w:val="0"/>
          <w:marBottom w:val="0"/>
          <w:divBdr>
            <w:top w:val="none" w:sz="0" w:space="0" w:color="auto"/>
            <w:left w:val="none" w:sz="0" w:space="0" w:color="auto"/>
            <w:bottom w:val="none" w:sz="0" w:space="0" w:color="auto"/>
            <w:right w:val="none" w:sz="0" w:space="0" w:color="auto"/>
          </w:divBdr>
        </w:div>
        <w:div w:id="1064790898">
          <w:marLeft w:val="0"/>
          <w:marRight w:val="0"/>
          <w:marTop w:val="0"/>
          <w:marBottom w:val="0"/>
          <w:divBdr>
            <w:top w:val="none" w:sz="0" w:space="0" w:color="auto"/>
            <w:left w:val="none" w:sz="0" w:space="0" w:color="auto"/>
            <w:bottom w:val="none" w:sz="0" w:space="0" w:color="auto"/>
            <w:right w:val="none" w:sz="0" w:space="0" w:color="auto"/>
          </w:divBdr>
        </w:div>
        <w:div w:id="346830997">
          <w:marLeft w:val="0"/>
          <w:marRight w:val="0"/>
          <w:marTop w:val="0"/>
          <w:marBottom w:val="0"/>
          <w:divBdr>
            <w:top w:val="none" w:sz="0" w:space="0" w:color="auto"/>
            <w:left w:val="none" w:sz="0" w:space="0" w:color="auto"/>
            <w:bottom w:val="none" w:sz="0" w:space="0" w:color="auto"/>
            <w:right w:val="none" w:sz="0" w:space="0" w:color="auto"/>
          </w:divBdr>
        </w:div>
        <w:div w:id="1357924217">
          <w:marLeft w:val="0"/>
          <w:marRight w:val="0"/>
          <w:marTop w:val="0"/>
          <w:marBottom w:val="0"/>
          <w:divBdr>
            <w:top w:val="none" w:sz="0" w:space="0" w:color="auto"/>
            <w:left w:val="none" w:sz="0" w:space="0" w:color="auto"/>
            <w:bottom w:val="none" w:sz="0" w:space="0" w:color="auto"/>
            <w:right w:val="none" w:sz="0" w:space="0" w:color="auto"/>
          </w:divBdr>
        </w:div>
        <w:div w:id="2137867765">
          <w:marLeft w:val="0"/>
          <w:marRight w:val="0"/>
          <w:marTop w:val="0"/>
          <w:marBottom w:val="0"/>
          <w:divBdr>
            <w:top w:val="none" w:sz="0" w:space="0" w:color="auto"/>
            <w:left w:val="none" w:sz="0" w:space="0" w:color="auto"/>
            <w:bottom w:val="none" w:sz="0" w:space="0" w:color="auto"/>
            <w:right w:val="none" w:sz="0" w:space="0" w:color="auto"/>
          </w:divBdr>
        </w:div>
        <w:div w:id="1974670023">
          <w:marLeft w:val="0"/>
          <w:marRight w:val="0"/>
          <w:marTop w:val="0"/>
          <w:marBottom w:val="0"/>
          <w:divBdr>
            <w:top w:val="none" w:sz="0" w:space="0" w:color="auto"/>
            <w:left w:val="none" w:sz="0" w:space="0" w:color="auto"/>
            <w:bottom w:val="none" w:sz="0" w:space="0" w:color="auto"/>
            <w:right w:val="none" w:sz="0" w:space="0" w:color="auto"/>
          </w:divBdr>
        </w:div>
        <w:div w:id="1732649905">
          <w:marLeft w:val="0"/>
          <w:marRight w:val="0"/>
          <w:marTop w:val="0"/>
          <w:marBottom w:val="0"/>
          <w:divBdr>
            <w:top w:val="none" w:sz="0" w:space="0" w:color="auto"/>
            <w:left w:val="none" w:sz="0" w:space="0" w:color="auto"/>
            <w:bottom w:val="none" w:sz="0" w:space="0" w:color="auto"/>
            <w:right w:val="none" w:sz="0" w:space="0" w:color="auto"/>
          </w:divBdr>
        </w:div>
        <w:div w:id="1101533996">
          <w:marLeft w:val="0"/>
          <w:marRight w:val="0"/>
          <w:marTop w:val="0"/>
          <w:marBottom w:val="0"/>
          <w:divBdr>
            <w:top w:val="none" w:sz="0" w:space="0" w:color="auto"/>
            <w:left w:val="none" w:sz="0" w:space="0" w:color="auto"/>
            <w:bottom w:val="none" w:sz="0" w:space="0" w:color="auto"/>
            <w:right w:val="none" w:sz="0" w:space="0" w:color="auto"/>
          </w:divBdr>
        </w:div>
        <w:div w:id="322244886">
          <w:marLeft w:val="0"/>
          <w:marRight w:val="0"/>
          <w:marTop w:val="0"/>
          <w:marBottom w:val="0"/>
          <w:divBdr>
            <w:top w:val="none" w:sz="0" w:space="0" w:color="auto"/>
            <w:left w:val="none" w:sz="0" w:space="0" w:color="auto"/>
            <w:bottom w:val="none" w:sz="0" w:space="0" w:color="auto"/>
            <w:right w:val="none" w:sz="0" w:space="0" w:color="auto"/>
          </w:divBdr>
        </w:div>
        <w:div w:id="2041469524">
          <w:marLeft w:val="0"/>
          <w:marRight w:val="0"/>
          <w:marTop w:val="0"/>
          <w:marBottom w:val="0"/>
          <w:divBdr>
            <w:top w:val="none" w:sz="0" w:space="0" w:color="auto"/>
            <w:left w:val="none" w:sz="0" w:space="0" w:color="auto"/>
            <w:bottom w:val="none" w:sz="0" w:space="0" w:color="auto"/>
            <w:right w:val="none" w:sz="0" w:space="0" w:color="auto"/>
          </w:divBdr>
        </w:div>
        <w:div w:id="2074351881">
          <w:marLeft w:val="0"/>
          <w:marRight w:val="0"/>
          <w:marTop w:val="0"/>
          <w:marBottom w:val="0"/>
          <w:divBdr>
            <w:top w:val="none" w:sz="0" w:space="0" w:color="auto"/>
            <w:left w:val="none" w:sz="0" w:space="0" w:color="auto"/>
            <w:bottom w:val="none" w:sz="0" w:space="0" w:color="auto"/>
            <w:right w:val="none" w:sz="0" w:space="0" w:color="auto"/>
          </w:divBdr>
        </w:div>
        <w:div w:id="240678682">
          <w:marLeft w:val="0"/>
          <w:marRight w:val="0"/>
          <w:marTop w:val="0"/>
          <w:marBottom w:val="0"/>
          <w:divBdr>
            <w:top w:val="none" w:sz="0" w:space="0" w:color="auto"/>
            <w:left w:val="none" w:sz="0" w:space="0" w:color="auto"/>
            <w:bottom w:val="none" w:sz="0" w:space="0" w:color="auto"/>
            <w:right w:val="none" w:sz="0" w:space="0" w:color="auto"/>
          </w:divBdr>
        </w:div>
        <w:div w:id="991298626">
          <w:marLeft w:val="0"/>
          <w:marRight w:val="0"/>
          <w:marTop w:val="0"/>
          <w:marBottom w:val="0"/>
          <w:divBdr>
            <w:top w:val="none" w:sz="0" w:space="0" w:color="auto"/>
            <w:left w:val="none" w:sz="0" w:space="0" w:color="auto"/>
            <w:bottom w:val="none" w:sz="0" w:space="0" w:color="auto"/>
            <w:right w:val="none" w:sz="0" w:space="0" w:color="auto"/>
          </w:divBdr>
        </w:div>
        <w:div w:id="1616673836">
          <w:marLeft w:val="0"/>
          <w:marRight w:val="0"/>
          <w:marTop w:val="0"/>
          <w:marBottom w:val="0"/>
          <w:divBdr>
            <w:top w:val="none" w:sz="0" w:space="0" w:color="auto"/>
            <w:left w:val="none" w:sz="0" w:space="0" w:color="auto"/>
            <w:bottom w:val="none" w:sz="0" w:space="0" w:color="auto"/>
            <w:right w:val="none" w:sz="0" w:space="0" w:color="auto"/>
          </w:divBdr>
        </w:div>
        <w:div w:id="1387989023">
          <w:marLeft w:val="0"/>
          <w:marRight w:val="0"/>
          <w:marTop w:val="0"/>
          <w:marBottom w:val="0"/>
          <w:divBdr>
            <w:top w:val="none" w:sz="0" w:space="0" w:color="auto"/>
            <w:left w:val="none" w:sz="0" w:space="0" w:color="auto"/>
            <w:bottom w:val="none" w:sz="0" w:space="0" w:color="auto"/>
            <w:right w:val="none" w:sz="0" w:space="0" w:color="auto"/>
          </w:divBdr>
        </w:div>
        <w:div w:id="328293689">
          <w:marLeft w:val="0"/>
          <w:marRight w:val="0"/>
          <w:marTop w:val="0"/>
          <w:marBottom w:val="0"/>
          <w:divBdr>
            <w:top w:val="none" w:sz="0" w:space="0" w:color="auto"/>
            <w:left w:val="none" w:sz="0" w:space="0" w:color="auto"/>
            <w:bottom w:val="none" w:sz="0" w:space="0" w:color="auto"/>
            <w:right w:val="none" w:sz="0" w:space="0" w:color="auto"/>
          </w:divBdr>
        </w:div>
        <w:div w:id="1881936579">
          <w:marLeft w:val="0"/>
          <w:marRight w:val="0"/>
          <w:marTop w:val="0"/>
          <w:marBottom w:val="0"/>
          <w:divBdr>
            <w:top w:val="none" w:sz="0" w:space="0" w:color="auto"/>
            <w:left w:val="none" w:sz="0" w:space="0" w:color="auto"/>
            <w:bottom w:val="none" w:sz="0" w:space="0" w:color="auto"/>
            <w:right w:val="none" w:sz="0" w:space="0" w:color="auto"/>
          </w:divBdr>
        </w:div>
        <w:div w:id="1272935320">
          <w:marLeft w:val="0"/>
          <w:marRight w:val="0"/>
          <w:marTop w:val="0"/>
          <w:marBottom w:val="0"/>
          <w:divBdr>
            <w:top w:val="none" w:sz="0" w:space="0" w:color="auto"/>
            <w:left w:val="none" w:sz="0" w:space="0" w:color="auto"/>
            <w:bottom w:val="none" w:sz="0" w:space="0" w:color="auto"/>
            <w:right w:val="none" w:sz="0" w:space="0" w:color="auto"/>
          </w:divBdr>
        </w:div>
        <w:div w:id="715393129">
          <w:marLeft w:val="0"/>
          <w:marRight w:val="0"/>
          <w:marTop w:val="0"/>
          <w:marBottom w:val="0"/>
          <w:divBdr>
            <w:top w:val="none" w:sz="0" w:space="0" w:color="auto"/>
            <w:left w:val="none" w:sz="0" w:space="0" w:color="auto"/>
            <w:bottom w:val="none" w:sz="0" w:space="0" w:color="auto"/>
            <w:right w:val="none" w:sz="0" w:space="0" w:color="auto"/>
          </w:divBdr>
        </w:div>
        <w:div w:id="1040201324">
          <w:marLeft w:val="0"/>
          <w:marRight w:val="0"/>
          <w:marTop w:val="0"/>
          <w:marBottom w:val="0"/>
          <w:divBdr>
            <w:top w:val="none" w:sz="0" w:space="0" w:color="auto"/>
            <w:left w:val="none" w:sz="0" w:space="0" w:color="auto"/>
            <w:bottom w:val="none" w:sz="0" w:space="0" w:color="auto"/>
            <w:right w:val="none" w:sz="0" w:space="0" w:color="auto"/>
          </w:divBdr>
        </w:div>
        <w:div w:id="1866013319">
          <w:marLeft w:val="0"/>
          <w:marRight w:val="0"/>
          <w:marTop w:val="0"/>
          <w:marBottom w:val="0"/>
          <w:divBdr>
            <w:top w:val="none" w:sz="0" w:space="0" w:color="auto"/>
            <w:left w:val="none" w:sz="0" w:space="0" w:color="auto"/>
            <w:bottom w:val="none" w:sz="0" w:space="0" w:color="auto"/>
            <w:right w:val="none" w:sz="0" w:space="0" w:color="auto"/>
          </w:divBdr>
        </w:div>
        <w:div w:id="1113551806">
          <w:marLeft w:val="0"/>
          <w:marRight w:val="0"/>
          <w:marTop w:val="0"/>
          <w:marBottom w:val="0"/>
          <w:divBdr>
            <w:top w:val="none" w:sz="0" w:space="0" w:color="auto"/>
            <w:left w:val="none" w:sz="0" w:space="0" w:color="auto"/>
            <w:bottom w:val="none" w:sz="0" w:space="0" w:color="auto"/>
            <w:right w:val="none" w:sz="0" w:space="0" w:color="auto"/>
          </w:divBdr>
        </w:div>
        <w:div w:id="1790591644">
          <w:marLeft w:val="0"/>
          <w:marRight w:val="0"/>
          <w:marTop w:val="0"/>
          <w:marBottom w:val="0"/>
          <w:divBdr>
            <w:top w:val="none" w:sz="0" w:space="0" w:color="auto"/>
            <w:left w:val="none" w:sz="0" w:space="0" w:color="auto"/>
            <w:bottom w:val="none" w:sz="0" w:space="0" w:color="auto"/>
            <w:right w:val="none" w:sz="0" w:space="0" w:color="auto"/>
          </w:divBdr>
        </w:div>
        <w:div w:id="1911379795">
          <w:marLeft w:val="0"/>
          <w:marRight w:val="0"/>
          <w:marTop w:val="0"/>
          <w:marBottom w:val="0"/>
          <w:divBdr>
            <w:top w:val="none" w:sz="0" w:space="0" w:color="auto"/>
            <w:left w:val="none" w:sz="0" w:space="0" w:color="auto"/>
            <w:bottom w:val="none" w:sz="0" w:space="0" w:color="auto"/>
            <w:right w:val="none" w:sz="0" w:space="0" w:color="auto"/>
          </w:divBdr>
        </w:div>
        <w:div w:id="616956259">
          <w:marLeft w:val="0"/>
          <w:marRight w:val="0"/>
          <w:marTop w:val="0"/>
          <w:marBottom w:val="0"/>
          <w:divBdr>
            <w:top w:val="none" w:sz="0" w:space="0" w:color="auto"/>
            <w:left w:val="none" w:sz="0" w:space="0" w:color="auto"/>
            <w:bottom w:val="none" w:sz="0" w:space="0" w:color="auto"/>
            <w:right w:val="none" w:sz="0" w:space="0" w:color="auto"/>
          </w:divBdr>
        </w:div>
        <w:div w:id="1211840441">
          <w:marLeft w:val="0"/>
          <w:marRight w:val="0"/>
          <w:marTop w:val="0"/>
          <w:marBottom w:val="0"/>
          <w:divBdr>
            <w:top w:val="none" w:sz="0" w:space="0" w:color="auto"/>
            <w:left w:val="none" w:sz="0" w:space="0" w:color="auto"/>
            <w:bottom w:val="none" w:sz="0" w:space="0" w:color="auto"/>
            <w:right w:val="none" w:sz="0" w:space="0" w:color="auto"/>
          </w:divBdr>
        </w:div>
        <w:div w:id="1005670631">
          <w:marLeft w:val="0"/>
          <w:marRight w:val="0"/>
          <w:marTop w:val="0"/>
          <w:marBottom w:val="0"/>
          <w:divBdr>
            <w:top w:val="none" w:sz="0" w:space="0" w:color="auto"/>
            <w:left w:val="none" w:sz="0" w:space="0" w:color="auto"/>
            <w:bottom w:val="none" w:sz="0" w:space="0" w:color="auto"/>
            <w:right w:val="none" w:sz="0" w:space="0" w:color="auto"/>
          </w:divBdr>
        </w:div>
        <w:div w:id="1498620055">
          <w:marLeft w:val="0"/>
          <w:marRight w:val="0"/>
          <w:marTop w:val="0"/>
          <w:marBottom w:val="0"/>
          <w:divBdr>
            <w:top w:val="none" w:sz="0" w:space="0" w:color="auto"/>
            <w:left w:val="none" w:sz="0" w:space="0" w:color="auto"/>
            <w:bottom w:val="none" w:sz="0" w:space="0" w:color="auto"/>
            <w:right w:val="none" w:sz="0" w:space="0" w:color="auto"/>
          </w:divBdr>
        </w:div>
        <w:div w:id="1122765812">
          <w:marLeft w:val="0"/>
          <w:marRight w:val="0"/>
          <w:marTop w:val="0"/>
          <w:marBottom w:val="0"/>
          <w:divBdr>
            <w:top w:val="none" w:sz="0" w:space="0" w:color="auto"/>
            <w:left w:val="none" w:sz="0" w:space="0" w:color="auto"/>
            <w:bottom w:val="none" w:sz="0" w:space="0" w:color="auto"/>
            <w:right w:val="none" w:sz="0" w:space="0" w:color="auto"/>
          </w:divBdr>
        </w:div>
        <w:div w:id="762266253">
          <w:marLeft w:val="0"/>
          <w:marRight w:val="0"/>
          <w:marTop w:val="0"/>
          <w:marBottom w:val="0"/>
          <w:divBdr>
            <w:top w:val="none" w:sz="0" w:space="0" w:color="auto"/>
            <w:left w:val="none" w:sz="0" w:space="0" w:color="auto"/>
            <w:bottom w:val="none" w:sz="0" w:space="0" w:color="auto"/>
            <w:right w:val="none" w:sz="0" w:space="0" w:color="auto"/>
          </w:divBdr>
        </w:div>
        <w:div w:id="815101371">
          <w:marLeft w:val="0"/>
          <w:marRight w:val="0"/>
          <w:marTop w:val="0"/>
          <w:marBottom w:val="0"/>
          <w:divBdr>
            <w:top w:val="none" w:sz="0" w:space="0" w:color="auto"/>
            <w:left w:val="none" w:sz="0" w:space="0" w:color="auto"/>
            <w:bottom w:val="none" w:sz="0" w:space="0" w:color="auto"/>
            <w:right w:val="none" w:sz="0" w:space="0" w:color="auto"/>
          </w:divBdr>
        </w:div>
        <w:div w:id="569123741">
          <w:marLeft w:val="0"/>
          <w:marRight w:val="0"/>
          <w:marTop w:val="0"/>
          <w:marBottom w:val="0"/>
          <w:divBdr>
            <w:top w:val="none" w:sz="0" w:space="0" w:color="auto"/>
            <w:left w:val="none" w:sz="0" w:space="0" w:color="auto"/>
            <w:bottom w:val="none" w:sz="0" w:space="0" w:color="auto"/>
            <w:right w:val="none" w:sz="0" w:space="0" w:color="auto"/>
          </w:divBdr>
        </w:div>
        <w:div w:id="1199784497">
          <w:marLeft w:val="0"/>
          <w:marRight w:val="0"/>
          <w:marTop w:val="0"/>
          <w:marBottom w:val="0"/>
          <w:divBdr>
            <w:top w:val="none" w:sz="0" w:space="0" w:color="auto"/>
            <w:left w:val="none" w:sz="0" w:space="0" w:color="auto"/>
            <w:bottom w:val="none" w:sz="0" w:space="0" w:color="auto"/>
            <w:right w:val="none" w:sz="0" w:space="0" w:color="auto"/>
          </w:divBdr>
        </w:div>
        <w:div w:id="2055615423">
          <w:marLeft w:val="0"/>
          <w:marRight w:val="0"/>
          <w:marTop w:val="0"/>
          <w:marBottom w:val="0"/>
          <w:divBdr>
            <w:top w:val="none" w:sz="0" w:space="0" w:color="auto"/>
            <w:left w:val="none" w:sz="0" w:space="0" w:color="auto"/>
            <w:bottom w:val="none" w:sz="0" w:space="0" w:color="auto"/>
            <w:right w:val="none" w:sz="0" w:space="0" w:color="auto"/>
          </w:divBdr>
        </w:div>
        <w:div w:id="1261261599">
          <w:marLeft w:val="0"/>
          <w:marRight w:val="0"/>
          <w:marTop w:val="0"/>
          <w:marBottom w:val="0"/>
          <w:divBdr>
            <w:top w:val="none" w:sz="0" w:space="0" w:color="auto"/>
            <w:left w:val="none" w:sz="0" w:space="0" w:color="auto"/>
            <w:bottom w:val="none" w:sz="0" w:space="0" w:color="auto"/>
            <w:right w:val="none" w:sz="0" w:space="0" w:color="auto"/>
          </w:divBdr>
        </w:div>
        <w:div w:id="2096516195">
          <w:marLeft w:val="0"/>
          <w:marRight w:val="0"/>
          <w:marTop w:val="0"/>
          <w:marBottom w:val="0"/>
          <w:divBdr>
            <w:top w:val="none" w:sz="0" w:space="0" w:color="auto"/>
            <w:left w:val="none" w:sz="0" w:space="0" w:color="auto"/>
            <w:bottom w:val="none" w:sz="0" w:space="0" w:color="auto"/>
            <w:right w:val="none" w:sz="0" w:space="0" w:color="auto"/>
          </w:divBdr>
        </w:div>
        <w:div w:id="320620155">
          <w:marLeft w:val="0"/>
          <w:marRight w:val="0"/>
          <w:marTop w:val="0"/>
          <w:marBottom w:val="0"/>
          <w:divBdr>
            <w:top w:val="none" w:sz="0" w:space="0" w:color="auto"/>
            <w:left w:val="none" w:sz="0" w:space="0" w:color="auto"/>
            <w:bottom w:val="none" w:sz="0" w:space="0" w:color="auto"/>
            <w:right w:val="none" w:sz="0" w:space="0" w:color="auto"/>
          </w:divBdr>
        </w:div>
        <w:div w:id="14965241">
          <w:marLeft w:val="0"/>
          <w:marRight w:val="0"/>
          <w:marTop w:val="0"/>
          <w:marBottom w:val="0"/>
          <w:divBdr>
            <w:top w:val="none" w:sz="0" w:space="0" w:color="auto"/>
            <w:left w:val="none" w:sz="0" w:space="0" w:color="auto"/>
            <w:bottom w:val="none" w:sz="0" w:space="0" w:color="auto"/>
            <w:right w:val="none" w:sz="0" w:space="0" w:color="auto"/>
          </w:divBdr>
        </w:div>
        <w:div w:id="905800208">
          <w:marLeft w:val="0"/>
          <w:marRight w:val="0"/>
          <w:marTop w:val="0"/>
          <w:marBottom w:val="0"/>
          <w:divBdr>
            <w:top w:val="none" w:sz="0" w:space="0" w:color="auto"/>
            <w:left w:val="none" w:sz="0" w:space="0" w:color="auto"/>
            <w:bottom w:val="none" w:sz="0" w:space="0" w:color="auto"/>
            <w:right w:val="none" w:sz="0" w:space="0" w:color="auto"/>
          </w:divBdr>
        </w:div>
        <w:div w:id="459111141">
          <w:marLeft w:val="0"/>
          <w:marRight w:val="0"/>
          <w:marTop w:val="0"/>
          <w:marBottom w:val="0"/>
          <w:divBdr>
            <w:top w:val="none" w:sz="0" w:space="0" w:color="auto"/>
            <w:left w:val="none" w:sz="0" w:space="0" w:color="auto"/>
            <w:bottom w:val="none" w:sz="0" w:space="0" w:color="auto"/>
            <w:right w:val="none" w:sz="0" w:space="0" w:color="auto"/>
          </w:divBdr>
        </w:div>
        <w:div w:id="1242368998">
          <w:marLeft w:val="0"/>
          <w:marRight w:val="0"/>
          <w:marTop w:val="0"/>
          <w:marBottom w:val="0"/>
          <w:divBdr>
            <w:top w:val="none" w:sz="0" w:space="0" w:color="auto"/>
            <w:left w:val="none" w:sz="0" w:space="0" w:color="auto"/>
            <w:bottom w:val="none" w:sz="0" w:space="0" w:color="auto"/>
            <w:right w:val="none" w:sz="0" w:space="0" w:color="auto"/>
          </w:divBdr>
        </w:div>
        <w:div w:id="320237516">
          <w:marLeft w:val="0"/>
          <w:marRight w:val="0"/>
          <w:marTop w:val="0"/>
          <w:marBottom w:val="0"/>
          <w:divBdr>
            <w:top w:val="none" w:sz="0" w:space="0" w:color="auto"/>
            <w:left w:val="none" w:sz="0" w:space="0" w:color="auto"/>
            <w:bottom w:val="none" w:sz="0" w:space="0" w:color="auto"/>
            <w:right w:val="none" w:sz="0" w:space="0" w:color="auto"/>
          </w:divBdr>
        </w:div>
        <w:div w:id="45837097">
          <w:marLeft w:val="0"/>
          <w:marRight w:val="0"/>
          <w:marTop w:val="0"/>
          <w:marBottom w:val="0"/>
          <w:divBdr>
            <w:top w:val="none" w:sz="0" w:space="0" w:color="auto"/>
            <w:left w:val="none" w:sz="0" w:space="0" w:color="auto"/>
            <w:bottom w:val="none" w:sz="0" w:space="0" w:color="auto"/>
            <w:right w:val="none" w:sz="0" w:space="0" w:color="auto"/>
          </w:divBdr>
        </w:div>
        <w:div w:id="554632301">
          <w:marLeft w:val="0"/>
          <w:marRight w:val="0"/>
          <w:marTop w:val="0"/>
          <w:marBottom w:val="0"/>
          <w:divBdr>
            <w:top w:val="none" w:sz="0" w:space="0" w:color="auto"/>
            <w:left w:val="none" w:sz="0" w:space="0" w:color="auto"/>
            <w:bottom w:val="none" w:sz="0" w:space="0" w:color="auto"/>
            <w:right w:val="none" w:sz="0" w:space="0" w:color="auto"/>
          </w:divBdr>
        </w:div>
        <w:div w:id="1394694551">
          <w:marLeft w:val="0"/>
          <w:marRight w:val="0"/>
          <w:marTop w:val="0"/>
          <w:marBottom w:val="0"/>
          <w:divBdr>
            <w:top w:val="none" w:sz="0" w:space="0" w:color="auto"/>
            <w:left w:val="none" w:sz="0" w:space="0" w:color="auto"/>
            <w:bottom w:val="none" w:sz="0" w:space="0" w:color="auto"/>
            <w:right w:val="none" w:sz="0" w:space="0" w:color="auto"/>
          </w:divBdr>
        </w:div>
        <w:div w:id="211161287">
          <w:marLeft w:val="0"/>
          <w:marRight w:val="0"/>
          <w:marTop w:val="0"/>
          <w:marBottom w:val="0"/>
          <w:divBdr>
            <w:top w:val="none" w:sz="0" w:space="0" w:color="auto"/>
            <w:left w:val="none" w:sz="0" w:space="0" w:color="auto"/>
            <w:bottom w:val="none" w:sz="0" w:space="0" w:color="auto"/>
            <w:right w:val="none" w:sz="0" w:space="0" w:color="auto"/>
          </w:divBdr>
        </w:div>
        <w:div w:id="88980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06" TargetMode="External"/><Relationship Id="rId18" Type="http://schemas.openxmlformats.org/officeDocument/2006/relationships/hyperlink" Target="https://www.ceta.org.co/html/vista_de_un_articulo.asp?Norma=125" TargetMode="External"/><Relationship Id="rId26" Type="http://schemas.openxmlformats.org/officeDocument/2006/relationships/hyperlink" Target="https://www.ceta.org.co/html/vista_de_un_articulo.asp?Norma=851" TargetMode="External"/><Relationship Id="rId39" Type="http://schemas.openxmlformats.org/officeDocument/2006/relationships/hyperlink" Target="https://www.ceta.org.co/html/vista_de_un_articulo.asp?Norma=761" TargetMode="External"/><Relationship Id="rId21" Type="http://schemas.openxmlformats.org/officeDocument/2006/relationships/hyperlink" Target="https://www.ceta.org.co/html/vista_de_un_articulo.asp?Norma=125" TargetMode="External"/><Relationship Id="rId34" Type="http://schemas.openxmlformats.org/officeDocument/2006/relationships/hyperlink" Target="https://www.ceta.org.co/html/vista_de_un_articulo.asp?Norma=921" TargetMode="External"/><Relationship Id="rId42" Type="http://schemas.openxmlformats.org/officeDocument/2006/relationships/hyperlink" Target="https://www.ceta.org.co/html/vista_de_un_articulo.asp?Norma=761" TargetMode="External"/><Relationship Id="rId47" Type="http://schemas.openxmlformats.org/officeDocument/2006/relationships/hyperlink" Target="https://www.ceta.org.co/html/vista_de_un_articulo.asp?Norma=466" TargetMode="External"/><Relationship Id="rId50" Type="http://schemas.openxmlformats.org/officeDocument/2006/relationships/hyperlink" Target="https://www.ceta.org.co/html/vista_de_un_articulo.asp?Norma=970" TargetMode="External"/><Relationship Id="rId55" Type="http://schemas.openxmlformats.org/officeDocument/2006/relationships/hyperlink" Target="https://www.ceta.org.co/html/vista_de_un_articulo.asp?Norma=804" TargetMode="External"/><Relationship Id="rId63" Type="http://schemas.openxmlformats.org/officeDocument/2006/relationships/hyperlink" Target="https://www.ceta.org.co/html/vista_de_un_articulo.asp?Norma=961" TargetMode="External"/><Relationship Id="rId68" Type="http://schemas.openxmlformats.org/officeDocument/2006/relationships/hyperlink" Target="https://www.ceta.org.co/html/vista_de_un_articulo.asp?Norma=804" TargetMode="External"/><Relationship Id="rId7" Type="http://schemas.openxmlformats.org/officeDocument/2006/relationships/hyperlink" Target="https://www.ceta.org.co/html/vista_de_un_articulo.asp?Norma=85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125" TargetMode="External"/><Relationship Id="rId29" Type="http://schemas.openxmlformats.org/officeDocument/2006/relationships/hyperlink" Target="https://www.ceta.org.co/html/vista_de_un_articulo.asp?Norma=960" TargetMode="Externa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884" TargetMode="External"/><Relationship Id="rId24" Type="http://schemas.openxmlformats.org/officeDocument/2006/relationships/hyperlink" Target="https://www.ceta.org.co/html/vista_de_un_articulo.asp?Norma=970" TargetMode="External"/><Relationship Id="rId32" Type="http://schemas.openxmlformats.org/officeDocument/2006/relationships/hyperlink" Target="https://www.ceta.org.co/html/vista_de_un_articulo.asp?Norma=970" TargetMode="External"/><Relationship Id="rId37" Type="http://schemas.openxmlformats.org/officeDocument/2006/relationships/hyperlink" Target="https://www.ceta.org.co/html/vista_de_un_articulo.asp?Norma=957" TargetMode="External"/><Relationship Id="rId40" Type="http://schemas.openxmlformats.org/officeDocument/2006/relationships/hyperlink" Target="https://www.ceta.org.co/html/vista_de_un_articulo.asp?Norma=762" TargetMode="External"/><Relationship Id="rId45" Type="http://schemas.openxmlformats.org/officeDocument/2006/relationships/hyperlink" Target="https://www.ceta.org.co/html/vista_de_un_articulo.asp?Norma=954" TargetMode="External"/><Relationship Id="rId53" Type="http://schemas.openxmlformats.org/officeDocument/2006/relationships/hyperlink" Target="https://www.ceta.org.co/html/vista_de_un_articulo.asp?Norma=125" TargetMode="External"/><Relationship Id="rId58" Type="http://schemas.openxmlformats.org/officeDocument/2006/relationships/hyperlink" Target="https://www.ceta.org.co/html/vista_de_un_articulo.asp?Norma=804" TargetMode="External"/><Relationship Id="rId66" Type="http://schemas.openxmlformats.org/officeDocument/2006/relationships/hyperlink" Target="https://www.ceta.org.co/html/vista_de_un_articulo.asp?Norma=919" TargetMode="External"/><Relationship Id="rId5" Type="http://schemas.openxmlformats.org/officeDocument/2006/relationships/hyperlink" Target="https://www.ceta.org.co/html/vista_de_un_articulo.asp?Norma=125" TargetMode="External"/><Relationship Id="rId15" Type="http://schemas.openxmlformats.org/officeDocument/2006/relationships/hyperlink" Target="https://www.ceta.org.co/html/vista_de_un_articulo.asp?Norma=970" TargetMode="External"/><Relationship Id="rId23" Type="http://schemas.openxmlformats.org/officeDocument/2006/relationships/hyperlink" Target="https://www.ceta.org.co/html/vista_de_un_articulo.asp?Norma=125" TargetMode="External"/><Relationship Id="rId28" Type="http://schemas.openxmlformats.org/officeDocument/2006/relationships/hyperlink" Target="https://www.ceta.org.co/html/vista_de_un_articulo.asp?Norma=920" TargetMode="External"/><Relationship Id="rId36" Type="http://schemas.openxmlformats.org/officeDocument/2006/relationships/hyperlink" Target="https://www.ceta.org.co/html/vista_de_un_articulo.asp?Norma=920" TargetMode="External"/><Relationship Id="rId49" Type="http://schemas.openxmlformats.org/officeDocument/2006/relationships/hyperlink" Target="https://www.ceta.org.co/html/vista_de_un_articulo.asp?Norma=474" TargetMode="External"/><Relationship Id="rId57" Type="http://schemas.openxmlformats.org/officeDocument/2006/relationships/hyperlink" Target="https://www.ceta.org.co/html/vista_de_un_articulo.asp?Norma=795" TargetMode="External"/><Relationship Id="rId61" Type="http://schemas.openxmlformats.org/officeDocument/2006/relationships/hyperlink" Target="https://www.ceta.org.co/html/vista_de_un_documento.asp?DocumentoID=36133" TargetMode="External"/><Relationship Id="rId10" Type="http://schemas.openxmlformats.org/officeDocument/2006/relationships/hyperlink" Target="https://www.ceta.org.co/html/vista_de_un_articulo.asp?Norma=872" TargetMode="External"/><Relationship Id="rId19" Type="http://schemas.openxmlformats.org/officeDocument/2006/relationships/hyperlink" Target="https://www.ceta.org.co/html/vista_de_un_articulo.asp?Norma=970" TargetMode="External"/><Relationship Id="rId31" Type="http://schemas.openxmlformats.org/officeDocument/2006/relationships/hyperlink" Target="https://www.ceta.org.co/html/vista_de_un_articulo.asp?Norma=962" TargetMode="External"/><Relationship Id="rId44" Type="http://schemas.openxmlformats.org/officeDocument/2006/relationships/hyperlink" Target="https://www.ceta.org.co/html/vista_de_un_articulo.asp?Norma=955" TargetMode="External"/><Relationship Id="rId52" Type="http://schemas.openxmlformats.org/officeDocument/2006/relationships/hyperlink" Target="https://www.ceta.org.co/html/vista_de_un_articulo.asp?Norma=970" TargetMode="External"/><Relationship Id="rId60" Type="http://schemas.openxmlformats.org/officeDocument/2006/relationships/hyperlink" Target="https://www.ceta.org.co/html/vista_de_un_articulo.asp?Norma=923" TargetMode="External"/><Relationship Id="rId65" Type="http://schemas.openxmlformats.org/officeDocument/2006/relationships/hyperlink" Target="https://www.ceta.org.co/html/vista_de_un_articulo.asp?Norma=970" TargetMode="External"/><Relationship Id="rId4" Type="http://schemas.openxmlformats.org/officeDocument/2006/relationships/hyperlink" Target="https://www.ceta.org.co/html/vista_de_un_articulo.asp?Norma=125" TargetMode="External"/><Relationship Id="rId9" Type="http://schemas.openxmlformats.org/officeDocument/2006/relationships/hyperlink" Target="https://www.ceta.org.co/html/vista_de_un_articulo.asp?Norma=855" TargetMode="External"/><Relationship Id="rId14" Type="http://schemas.openxmlformats.org/officeDocument/2006/relationships/hyperlink" Target="https://www.ceta.org.co/html/vista_de_un_articulo.asp?Norma=920" TargetMode="External"/><Relationship Id="rId22" Type="http://schemas.openxmlformats.org/officeDocument/2006/relationships/hyperlink" Target="https://www.ceta.org.co/html/vista_de_un_articulo.asp?Norma=970" TargetMode="External"/><Relationship Id="rId27" Type="http://schemas.openxmlformats.org/officeDocument/2006/relationships/hyperlink" Target="https://www.ceta.org.co/html/vista_de_un_articulo.asp?Norma=919" TargetMode="External"/><Relationship Id="rId30" Type="http://schemas.openxmlformats.org/officeDocument/2006/relationships/hyperlink" Target="https://www.ceta.org.co/html/vista_de_un_articulo.asp?Norma=961" TargetMode="External"/><Relationship Id="rId35" Type="http://schemas.openxmlformats.org/officeDocument/2006/relationships/hyperlink" Target="https://www.ceta.org.co/html/vista_de_un_articulo.asp?Norma=970" TargetMode="External"/><Relationship Id="rId43" Type="http://schemas.openxmlformats.org/officeDocument/2006/relationships/hyperlink" Target="https://www.ceta.org.co/html/vista_de_un_articulo.asp?Norma=954" TargetMode="External"/><Relationship Id="rId48" Type="http://schemas.openxmlformats.org/officeDocument/2006/relationships/hyperlink" Target="https://www.ceta.org.co/html/vista_de_un_articulo.asp?Norma=467" TargetMode="External"/><Relationship Id="rId56" Type="http://schemas.openxmlformats.org/officeDocument/2006/relationships/hyperlink" Target="https://www.ceta.org.co/html/vista_de_un_articulo.asp?Norma=804" TargetMode="External"/><Relationship Id="rId64" Type="http://schemas.openxmlformats.org/officeDocument/2006/relationships/hyperlink" Target="https://www.ceta.org.co/html/vista_de_un_articulo.asp?Norma=962" TargetMode="External"/><Relationship Id="rId69" Type="http://schemas.openxmlformats.org/officeDocument/2006/relationships/hyperlink" Target="https://www.ceta.org.co/html/vista_de_un_articulo.asp?Norma=805" TargetMode="External"/><Relationship Id="rId8" Type="http://schemas.openxmlformats.org/officeDocument/2006/relationships/hyperlink" Target="https://www.ceta.org.co/html/vista_de_un_articulo.asp?Norma=851" TargetMode="External"/><Relationship Id="rId51" Type="http://schemas.openxmlformats.org/officeDocument/2006/relationships/hyperlink" Target="https://www.ceta.org.co/html/vista_de_un_articulo.asp?Norma=474"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889" TargetMode="External"/><Relationship Id="rId17" Type="http://schemas.openxmlformats.org/officeDocument/2006/relationships/hyperlink" Target="https://www.ceta.org.co/html/vista_de_un_articulo.asp?Norma=970"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articulo.asp?Norma=970" TargetMode="External"/><Relationship Id="rId38" Type="http://schemas.openxmlformats.org/officeDocument/2006/relationships/hyperlink" Target="https://www.ceta.org.co/html/vista_de_un_articulo.asp?Norma=957" TargetMode="External"/><Relationship Id="rId46" Type="http://schemas.openxmlformats.org/officeDocument/2006/relationships/hyperlink" Target="https://www.ceta.org.co/html/vista_de_un_articulo.asp?Norma=458" TargetMode="External"/><Relationship Id="rId59" Type="http://schemas.openxmlformats.org/officeDocument/2006/relationships/hyperlink" Target="https://www.ceta.org.co/html/vista_de_un_articulo.asp?Norma=851" TargetMode="External"/><Relationship Id="rId67" Type="http://schemas.openxmlformats.org/officeDocument/2006/relationships/hyperlink" Target="https://www.ceta.org.co/html/vista_de_un_articulo.asp?Norma=474" TargetMode="External"/><Relationship Id="rId20" Type="http://schemas.openxmlformats.org/officeDocument/2006/relationships/hyperlink" Target="https://www.ceta.org.co/html/vista_de_un_articulo.asp?Norma=815" TargetMode="External"/><Relationship Id="rId41" Type="http://schemas.openxmlformats.org/officeDocument/2006/relationships/hyperlink" Target="https://www.ceta.org.co/html/vista_de_un_articulo.asp?Norma=761" TargetMode="External"/><Relationship Id="rId54" Type="http://schemas.openxmlformats.org/officeDocument/2006/relationships/hyperlink" Target="https://www.ceta.org.co/html/vista_de_un_articulo.asp?Norma=970" TargetMode="External"/><Relationship Id="rId62" Type="http://schemas.openxmlformats.org/officeDocument/2006/relationships/hyperlink" Target="https://www.ceta.org.co/html/vista_de_un_documento.asp?DocumentoID=36133"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10278</Words>
  <Characters>56531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2019-03-18T13:40:00Z</dcterms:created>
  <dcterms:modified xsi:type="dcterms:W3CDTF">2019-03-18T13:43:00Z</dcterms:modified>
</cp:coreProperties>
</file>