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D1" w:rsidRPr="00700BE4" w:rsidRDefault="00DF4FD1" w:rsidP="00DF4FD1">
      <w:pPr>
        <w:spacing w:line="240" w:lineRule="auto"/>
        <w:jc w:val="center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Concepto Nº 201811600968251</w:t>
      </w:r>
    </w:p>
    <w:p w:rsidR="00DF4FD1" w:rsidRPr="00700BE4" w:rsidRDefault="00DF4FD1" w:rsidP="00DF4FD1">
      <w:pPr>
        <w:spacing w:line="240" w:lineRule="auto"/>
        <w:jc w:val="center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14-08-2018</w:t>
      </w:r>
    </w:p>
    <w:p w:rsidR="00DF4FD1" w:rsidRPr="00700BE4" w:rsidRDefault="00DF4FD1" w:rsidP="00DF4FD1">
      <w:pPr>
        <w:spacing w:line="240" w:lineRule="auto"/>
        <w:jc w:val="center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Ministerio de Salud y Protección Social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Bogotá D.C.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Asunto: </w:t>
      </w:r>
      <w:r w:rsidRPr="00700BE4">
        <w:rPr>
          <w:rFonts w:eastAsia="Times New Roman" w:cs="Times New Roman"/>
          <w:color w:val="auto"/>
          <w:szCs w:val="24"/>
          <w:lang w:val="es-CO"/>
        </w:rPr>
        <w:t>Solicitud de concepto frente a la exoneración del pago de aportes parafiscales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Radicado: </w:t>
      </w:r>
      <w:r w:rsidRPr="00700BE4">
        <w:rPr>
          <w:rFonts w:eastAsia="Times New Roman" w:cs="Times New Roman"/>
          <w:color w:val="auto"/>
          <w:szCs w:val="24"/>
          <w:lang w:val="es-CO"/>
        </w:rPr>
        <w:t>201842301061852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Respetada señora: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Hemos recibido su comunicación, mediante la cual plantea una serie de interrogantes relacionados con la exoneración de algunas empresas, en el pago de aportes parafiscales. Al respecto, nos permitimos señalar: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Sobre el particular, el artículo 65 de la Ley 1819 de 2016</w:t>
      </w:r>
      <w:bookmarkStart w:id="0" w:name="_ftnref1"/>
      <w:r w:rsidRPr="00700BE4">
        <w:rPr>
          <w:rFonts w:eastAsia="Times New Roman" w:cs="Times New Roman"/>
          <w:color w:val="auto"/>
          <w:szCs w:val="24"/>
          <w:lang w:val="es-CO"/>
        </w:rPr>
        <w:fldChar w:fldCharType="begin"/>
      </w:r>
      <w:r w:rsidRPr="00700BE4">
        <w:rPr>
          <w:rFonts w:eastAsia="Times New Roman" w:cs="Times New Roman"/>
          <w:color w:val="auto"/>
          <w:szCs w:val="24"/>
          <w:lang w:val="es-CO"/>
        </w:rPr>
        <w:instrText xml:space="preserve"> HYPERLINK "https://www.ceta.org.co/html/vista_de_un_documento.asp?DocumentoID=35041" \l "_ftn1" \o "" </w:instrTex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separate"/>
      </w:r>
      <w:r w:rsidRPr="00700BE4">
        <w:rPr>
          <w:rFonts w:eastAsia="Times New Roman" w:cs="Times New Roman"/>
          <w:color w:val="auto"/>
          <w:szCs w:val="24"/>
          <w:lang w:val="es-CO"/>
        </w:rPr>
        <w:t>[1]</w: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end"/>
      </w:r>
      <w:bookmarkEnd w:id="0"/>
      <w:r w:rsidRPr="00700BE4">
        <w:rPr>
          <w:rFonts w:eastAsia="Times New Roman" w:cs="Times New Roman"/>
          <w:color w:val="auto"/>
          <w:szCs w:val="24"/>
          <w:lang w:val="es-CO"/>
        </w:rPr>
        <w:t>, el cual adicionó el </w:t>
      </w:r>
      <w:hyperlink r:id="rId4" w:tooltip="Estatuto Tributario CETA" w:history="1">
        <w:r w:rsidRPr="00700BE4">
          <w:rPr>
            <w:rFonts w:eastAsia="Times New Roman" w:cs="Times New Roman"/>
            <w:color w:val="auto"/>
            <w:szCs w:val="24"/>
            <w:u w:val="single"/>
            <w:lang w:val="es-CO"/>
          </w:rPr>
          <w:t>artículo 114-1</w:t>
        </w:r>
      </w:hyperlink>
      <w:r w:rsidRPr="00700BE4">
        <w:rPr>
          <w:rFonts w:eastAsia="Times New Roman" w:cs="Times New Roman"/>
          <w:color w:val="auto"/>
          <w:szCs w:val="24"/>
          <w:lang w:val="es-CO"/>
        </w:rPr>
        <w:t> al Estatuto Tributario, frente a la exoneración de aportes, indicó: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“</w:t>
      </w:r>
      <w:hyperlink r:id="rId5" w:tooltip="Estatuto Tributario CETA" w:history="1">
        <w:r w:rsidRPr="00700BE4">
          <w:rPr>
            <w:rFonts w:eastAsia="Times New Roman" w:cs="Times New Roman"/>
            <w:b/>
            <w:bCs/>
            <w:i/>
            <w:iCs/>
            <w:color w:val="auto"/>
            <w:szCs w:val="24"/>
            <w:u w:val="single"/>
            <w:lang w:val="es-CO"/>
          </w:rPr>
          <w:t>Artículo 114-1</w:t>
        </w:r>
      </w:hyperlink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. Exoneración de aportes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. Estarán exoneradas del pago de los aportes parafiscales a favor del Servicio Nacional del Aprendizaje (SENA), del Instituto Colombiano de Bienestar Familiar (ICBF) y las cotizaciones al Régimen Contributivo de Salud, las sociedades y personas jurídicas y asimiladas contribuyentes declarantes del impuesto sobre la renta y complementarios, correspondientes a los trabajadores que devenguen, individualmente considerados, menos de diez (10) salarios mínimos mensuales legales vigentes.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Así mismo las personas naturales empleadoras estarán exoneradas de la obligación de pago de los aportes parafiscales al SENA, al ICBF y al Sistema de Seguridad Social en Salud </w:t>
      </w:r>
      <w:r w:rsidRPr="00700BE4">
        <w:rPr>
          <w:rFonts w:eastAsia="Times New Roman" w:cs="Times New Roman"/>
          <w:b/>
          <w:bCs/>
          <w:i/>
          <w:iCs/>
          <w:color w:val="auto"/>
          <w:szCs w:val="24"/>
          <w:u w:val="single"/>
          <w:lang w:val="es-CO"/>
        </w:rPr>
        <w:t>por los empleados que devenguen menos de diez (10) salarios mínimos legales mensuales vigentes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. Lo anterior no aplicará para personas naturales que empleen menos de dos trabajadores, los cuales seguirán obligados a efectuar los aportes de que trata este inciso.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Los consorcios, uniones temporales y patrimonios autónomos empleadores en los cuales la totalidad de sus miembros estén exonerados del pago de los aportes parafiscales a favor del Servicio Nacional de Aprendizaje (SENA) y el Instituto Colombiano de Bienestar Familiar (ICBF) de acuerdo con los incisos anteriores y estén exonerados del pago de los aportes al Sistema de Seguridad Social en salud de acuerdo con el inciso anterior o con el parágrafo 4o del artículo 204 de la Ley 100 de 1993, </w:t>
      </w: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estarán exonerados del pago de los aportes parafiscales a favor del Sena y el ICBF y al Sistema de Seguridad Social en Salud correspondientes a los trabajadores que devenguen, individualmente considerados, </w:t>
      </w:r>
      <w:r w:rsidRPr="00700BE4">
        <w:rPr>
          <w:rFonts w:eastAsia="Times New Roman" w:cs="Times New Roman"/>
          <w:b/>
          <w:bCs/>
          <w:i/>
          <w:iCs/>
          <w:color w:val="auto"/>
          <w:szCs w:val="24"/>
          <w:u w:val="single"/>
          <w:lang w:val="es-CO"/>
        </w:rPr>
        <w:t>menos de diez (10) salarios mínimos mensuales legales vigentes</w:t>
      </w: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.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Parágrafo 1. Los empleadores de trabajadores que devenguen diez (10) salarios mínimos legales mensuales vigentes o más, sean o no sujetos pasivos del Impuesto sobre la Renta y Complementarios seguirán obligados a realizar los aportes parafiscales y las cotizaciones de que tratan los artículos 202 y 204 de la Ley 100 de 1993 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y los pertinentes de la Ley 1122 de 2007, el artículo 7o de la Ley 21 de 1982, los artículos 2o y 3o de la Ley 27 de 1974 y el artículo 1o de la Ley 89 de 1988, y de acuerdo con los requisitos y condiciones establecidos en las normas aplicables.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Parágrafo 2. 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 xml:space="preserve">Las entidades calificadas en el Régimen Tributario Especial estarán obligadas a realizar los aportes parafiscales y las cotizaciones de que tratan los artículos 202 y 204 de la Ley 100 de 1993 y las pertinentes de la Ley 1122 de 2007, el artículo 7o de la Ley 21 de 1982, los artículos 2o y 3o de la Ley 27 de 1974 y el artículo 1o de la Ley 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lastRenderedPageBreak/>
        <w:t>89 de 1988, y de acuerdo con los requisitos y condiciones establecidos en las normas aplicables. (Negrilla y subrayas fuera de texto)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(…)”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Conforme a lo anterior, frente a sus interrogantes, se tiene lo siguiente: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1. “¿Qué características deben reunir las empresas que se encuentran exoneradas del pago de aportes parafiscales?”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Sobre el particular y de acuerdo a las previsiones contenidas en la ley antes reseñada, se encuentran exoneradas del pago de los aportes parafiscales a favor del Servicio Nacional del Aprendizaje (SENA), del Instituto Colombiano de Bienestar Familiar (ICBF) y las cotizaciones al Régimen Contributivo de Salud, las siguientes personas: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i. Las personas Naturales que empleen a más de 2 trabajadores.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ii. ii. (Sic) Las sociedades, personas jurídicas y asimiladas contribuyentes declarantes del impuesto sobre la renta y complementarios.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iii. Los consorcios, uniones temporales y patrimonios autónomos empleadores en los cuales la totalidad de sus miembros estén exonerados del pago de los aportes parafiscales a favor del Servicio Nacional de Aprendizaje y el Instituto Colombiano de Bienestar Familiar de acuerdo con lo previsto en la Ley 1819 de 2016 y estén exonerados del pago de los aportes al Sistema de Seguridad Social en Salud.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2. “¿Por qué clase de trabajadores esta exonerada la empresa de aportes parafiscales”?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Por los empleados que devenguen menos de diez (10) salarios mínimos legales mensuales vigentes.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3. “¿En algún caso se contempla que la empresa este exonerada de hacer aportes parafiscales, por un empleado cuya remuneración mensual sea de un salario mínimo integral? ¿En qué circunstancia es dable?”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Al respecto y para dar mayor claridad al término, 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“salario mínimo integral”, </w:t>
      </w:r>
      <w:r w:rsidRPr="00700BE4">
        <w:rPr>
          <w:rFonts w:eastAsia="Times New Roman" w:cs="Times New Roman"/>
          <w:color w:val="auto"/>
          <w:szCs w:val="24"/>
          <w:lang w:val="es-CO"/>
        </w:rPr>
        <w:t>vale la pena traer en cita el numeral 2 del artículo 132 del Código Sustantivo del Trabajo - CST, modificado por el artículo 18 de la Ley 50 de 1990</w:t>
      </w:r>
      <w:bookmarkStart w:id="1" w:name="_ftnref2"/>
      <w:r w:rsidRPr="00700BE4">
        <w:rPr>
          <w:rFonts w:eastAsia="Times New Roman" w:cs="Times New Roman"/>
          <w:color w:val="auto"/>
          <w:szCs w:val="24"/>
          <w:lang w:val="es-CO"/>
        </w:rPr>
        <w:fldChar w:fldCharType="begin"/>
      </w:r>
      <w:r w:rsidRPr="00700BE4">
        <w:rPr>
          <w:rFonts w:eastAsia="Times New Roman" w:cs="Times New Roman"/>
          <w:color w:val="auto"/>
          <w:szCs w:val="24"/>
          <w:lang w:val="es-CO"/>
        </w:rPr>
        <w:instrText xml:space="preserve"> HYPERLINK "https://www.ceta.org.co/html/vista_de_un_documento.asp?DocumentoID=35041" \l "_ftn2" \o "" </w:instrTex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separate"/>
      </w:r>
      <w:r w:rsidRPr="00700BE4">
        <w:rPr>
          <w:rFonts w:eastAsia="Times New Roman" w:cs="Times New Roman"/>
          <w:color w:val="auto"/>
          <w:szCs w:val="24"/>
          <w:lang w:val="es-CO"/>
        </w:rPr>
        <w:t>[2]</w: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end"/>
      </w:r>
      <w:bookmarkEnd w:id="1"/>
      <w:r w:rsidRPr="00700BE4">
        <w:rPr>
          <w:rFonts w:eastAsia="Times New Roman" w:cs="Times New Roman"/>
          <w:color w:val="auto"/>
          <w:szCs w:val="24"/>
          <w:lang w:val="es-CO"/>
        </w:rPr>
        <w:t>, el cual frente al salario integral, establece: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“Artículo 132. Formas y libertad de estipulación.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(…)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2. No obstante lo dispuesto en los artículos 13, 14, 16, 21, y 340 del Código Sustantivo del Trabajo y las normas concordantes con estas, </w:t>
      </w: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cuando el trabajador devengue un salario ordinario, superior a diez (10) salarios mínimos legales mensuales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, valdrá la estipulación escrita de un salario que además de retribuir el trabajo ordinario, compense de antemano el valor de prestaciones, recargos y beneficios tales como el correspondiente al trabajo nocturno, extraordinario o al dominical y festivo, el de primas legales, extralegales, las cesantías y sus intereses, subsidios y suministros en especie; y, en general, las que se incluyan en dicha estipulación, excepto las vacaciones.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 xml:space="preserve">En ningún caso el salario integral podrá ser inferior al monto de diez (10) salarios mínimos legales mensuales, más el factor </w:t>
      </w:r>
      <w:proofErr w:type="spellStart"/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prestacional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correspondiente</w:t>
      </w:r>
      <w:proofErr w:type="spellEnd"/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 xml:space="preserve"> a la empresa que no podrá ser inferior al treinta por ciento (30%) de dicha cuantía. El monto del factor prestacional quedará exento del pago de retención en la fuente y de impuestos. (Negrillo fuera de texto)</w:t>
      </w:r>
    </w:p>
    <w:p w:rsidR="00DF4FD1" w:rsidRPr="00700BE4" w:rsidRDefault="00DF4FD1" w:rsidP="00DF4FD1">
      <w:pPr>
        <w:spacing w:line="240" w:lineRule="auto"/>
        <w:ind w:left="180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(…)”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lastRenderedPageBreak/>
        <w:t>De lo anterior se colige que el 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“salario mínimo integral”</w:t>
      </w:r>
      <w:r w:rsidRPr="00700BE4">
        <w:rPr>
          <w:rFonts w:eastAsia="Times New Roman" w:cs="Times New Roman"/>
          <w:color w:val="auto"/>
          <w:szCs w:val="24"/>
          <w:lang w:val="es-CO"/>
        </w:rPr>
        <w:t>, no podrá ser inferior a diez (10) salarios mínimos legales mensuales vigentes, más el factor prestacional, que no podrá ser menor al 30% de dicho valor.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Así las cosas y frente a su pregunta, la norma contempla que estarán exentos del pago de aportes parafiscales al SENA, al ICBF y al Sistema de Seguridad Social en Salud, </w:t>
      </w: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los empleadores por aquellos trabajadores que devenguen menos de diez (10) salarios mínimos legales mensuales vigentes</w:t>
      </w:r>
      <w:r w:rsidRPr="00700BE4">
        <w:rPr>
          <w:rFonts w:eastAsia="Times New Roman" w:cs="Times New Roman"/>
          <w:color w:val="auto"/>
          <w:szCs w:val="24"/>
          <w:lang w:val="es-CO"/>
        </w:rPr>
        <w:t>, sin que en la misma se haga alusión a la exoneración en el pago de aportes por un empleado cuya remuneración corresponda a un salario mínimo integral.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En este sentido, cuando se haya pactado entre empleador y trabajador la remuneración como salario integral, el empleador no será objeto de la exoneración en el pago de aportes parafiscales al SENA, al ICBF y al Sistema de Seguridad Social en Salud, como quiera que dicha retribución conforme a lo establecido en el artículo 132 del CST, corresponde como mínimo a 10 SMMLV + 30% factor prestacional.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4. “¿Qué se debe tener en cuenta para determinar si se debe o no aportar a parafiscales, por un trabajador que devenga un salario mínimo integral? ¿El IBC? ¿O el devengue total?”</w:t>
      </w:r>
    </w:p>
    <w:p w:rsidR="004503CD" w:rsidRDefault="004503CD" w:rsidP="00DF4FD1">
      <w:pPr>
        <w:spacing w:line="240" w:lineRule="auto"/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</w:pP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5. “¿Qué se debe tener en cuenta para determinar si se debe o no aportar a parafiscales, por un trabajador que devenga un salario mínimo integral? ¿El IBC? ¿O el devengue total?”</w:t>
      </w:r>
    </w:p>
    <w:p w:rsidR="004503CD" w:rsidRDefault="004503CD" w:rsidP="00DF4FD1">
      <w:pPr>
        <w:spacing w:line="240" w:lineRule="auto"/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</w:pP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6. “¿Si la base de cotización de un trabajador que devenga un salario mínimo integral es menor a los 10 SMLMV, está obligada la empresa al pago de parafiscales pese a que esa base de cotización es inferior a los 10 SMLMV?”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Frente a sus interrogantes, vale la pena precisar que en el </w:t>
      </w:r>
      <w:hyperlink r:id="rId6" w:tooltip="Estatuto Tributario CETA" w:history="1">
        <w:r w:rsidRPr="00700BE4">
          <w:rPr>
            <w:rFonts w:eastAsia="Times New Roman" w:cs="Times New Roman"/>
            <w:color w:val="auto"/>
            <w:szCs w:val="24"/>
            <w:u w:val="single"/>
            <w:lang w:val="es-CO"/>
          </w:rPr>
          <w:t>artículo 114-1</w:t>
        </w:r>
      </w:hyperlink>
      <w:r w:rsidRPr="00700BE4">
        <w:rPr>
          <w:rFonts w:eastAsia="Times New Roman" w:cs="Times New Roman"/>
          <w:color w:val="auto"/>
          <w:szCs w:val="24"/>
          <w:lang w:val="es-CO"/>
        </w:rPr>
        <w:t> del Estatuto Tributario, no se hace alusión al Ingreso Base de Cotización – IBC, como un factor determinante para establecer la procedencia o no de la exoneración en el pago de aportes parafiscales al SENA, al ICBF y al Sistema de Seguridad Social en Salud, por el contrario como se indicó líneas atrás, la norma en cuestión refiere es a la exoneración por: </w:t>
      </w: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“(…) </w:t>
      </w:r>
      <w:r w:rsidRPr="00700BE4">
        <w:rPr>
          <w:rFonts w:eastAsia="Times New Roman" w:cs="Times New Roman"/>
          <w:b/>
          <w:bCs/>
          <w:i/>
          <w:iCs/>
          <w:color w:val="auto"/>
          <w:szCs w:val="24"/>
          <w:u w:val="single"/>
          <w:lang w:val="es-CO"/>
        </w:rPr>
        <w:t>los empleados que devenguen menos de diez (10) salarios mínimos legales mensuales vigentes</w:t>
      </w:r>
      <w:r w:rsidRPr="00700BE4">
        <w:rPr>
          <w:rFonts w:eastAsia="Times New Roman" w:cs="Times New Roman"/>
          <w:b/>
          <w:bCs/>
          <w:i/>
          <w:iCs/>
          <w:color w:val="auto"/>
          <w:szCs w:val="24"/>
          <w:lang w:val="es-CO"/>
        </w:rPr>
        <w:t> (…)”.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El anterior concepto tiene los efectos determinados en el artículo 28 del Código de Procedimiento Administrativo y de lo Contencioso Administrativo, sustituido en su título II, por el artículo 1 de la Ley 1755 de 2015</w:t>
      </w:r>
      <w:bookmarkStart w:id="2" w:name="_ftnref3"/>
      <w:r w:rsidRPr="00700BE4">
        <w:rPr>
          <w:rFonts w:eastAsia="Times New Roman" w:cs="Times New Roman"/>
          <w:color w:val="auto"/>
          <w:szCs w:val="24"/>
          <w:lang w:val="es-CO"/>
        </w:rPr>
        <w:fldChar w:fldCharType="begin"/>
      </w:r>
      <w:r w:rsidRPr="00700BE4">
        <w:rPr>
          <w:rFonts w:eastAsia="Times New Roman" w:cs="Times New Roman"/>
          <w:color w:val="auto"/>
          <w:szCs w:val="24"/>
          <w:lang w:val="es-CO"/>
        </w:rPr>
        <w:instrText xml:space="preserve"> HYPERLINK "https://www.ceta.org.co/html/vista_de_un_documento.asp?DocumentoID=35041" \l "_ftn3" \o "" </w:instrTex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separate"/>
      </w:r>
      <w:r w:rsidRPr="00700BE4">
        <w:rPr>
          <w:rFonts w:eastAsia="Times New Roman" w:cs="Times New Roman"/>
          <w:color w:val="auto"/>
          <w:szCs w:val="24"/>
          <w:lang w:val="es-CO"/>
        </w:rPr>
        <w:t>[3]</w: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end"/>
      </w:r>
      <w:bookmarkEnd w:id="2"/>
      <w:r w:rsidRPr="00700BE4">
        <w:rPr>
          <w:rFonts w:eastAsia="Times New Roman" w:cs="Times New Roman"/>
          <w:color w:val="auto"/>
          <w:szCs w:val="24"/>
          <w:lang w:val="es-CO"/>
        </w:rPr>
        <w:t>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Cordialmente,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b/>
          <w:bCs/>
          <w:color w:val="auto"/>
          <w:szCs w:val="24"/>
          <w:lang w:val="es-CO"/>
        </w:rPr>
        <w:t>LUIS GABRIEL FERNÁNDEZ FRANCO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Director Jurídico</w:t>
      </w:r>
    </w:p>
    <w:p w:rsidR="00DF4FD1" w:rsidRPr="00700BE4" w:rsidRDefault="00DF4FD1" w:rsidP="00DF4FD1">
      <w:pPr>
        <w:spacing w:line="240" w:lineRule="auto"/>
        <w:jc w:val="left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br w:type="textWrapping" w:clear="all"/>
      </w:r>
    </w:p>
    <w:p w:rsidR="00DF4FD1" w:rsidRPr="00700BE4" w:rsidRDefault="004503CD" w:rsidP="00DF4FD1">
      <w:pPr>
        <w:spacing w:line="240" w:lineRule="auto"/>
        <w:jc w:val="left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pict>
          <v:rect id="_x0000_i1025" style="width:145pt;height:.6pt" o:hrpct="330" o:hrstd="t" o:hr="t" fillcolor="#a0a0a0" stroked="f"/>
        </w:pict>
      </w:r>
    </w:p>
    <w:bookmarkStart w:id="3" w:name="_ftn1"/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fldChar w:fldCharType="begin"/>
      </w:r>
      <w:r w:rsidRPr="00700BE4">
        <w:rPr>
          <w:rFonts w:eastAsia="Times New Roman" w:cs="Times New Roman"/>
          <w:color w:val="auto"/>
          <w:szCs w:val="24"/>
          <w:lang w:val="es-CO"/>
        </w:rPr>
        <w:instrText xml:space="preserve"> HYPERLINK "https://www.ceta.org.co/html/vista_de_un_documento.asp?DocumentoID=35041" \l "_ftnref1" \o "" </w:instrTex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separate"/>
      </w:r>
      <w:r w:rsidRPr="00700BE4">
        <w:rPr>
          <w:rFonts w:eastAsia="Times New Roman" w:cs="Times New Roman"/>
          <w:color w:val="auto"/>
          <w:szCs w:val="24"/>
          <w:lang w:val="es-CO"/>
        </w:rPr>
        <w:t>[1]</w: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end"/>
      </w:r>
      <w:bookmarkEnd w:id="3"/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Por medio de la cual se adopta una reforma tributaria estructural, se fortalecen los mecanismos para la lucha contra la evasión y la elusión fiscal, y se dictan otras disposiciones.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bookmarkStart w:id="4" w:name="_ftn2"/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fldChar w:fldCharType="begin"/>
      </w:r>
      <w:r w:rsidRPr="00700BE4">
        <w:rPr>
          <w:rFonts w:eastAsia="Times New Roman" w:cs="Times New Roman"/>
          <w:color w:val="auto"/>
          <w:szCs w:val="24"/>
          <w:lang w:val="es-CO"/>
        </w:rPr>
        <w:instrText xml:space="preserve"> HYPERLINK "https://www.ceta.org.co/html/vista_de_un_documento.asp?DocumentoID=35041" \l "_ftnref2" \o "" </w:instrTex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separate"/>
      </w:r>
      <w:r w:rsidRPr="00700BE4">
        <w:rPr>
          <w:rFonts w:eastAsia="Times New Roman" w:cs="Times New Roman"/>
          <w:color w:val="auto"/>
          <w:szCs w:val="24"/>
          <w:lang w:val="es-CO"/>
        </w:rPr>
        <w:t>[2]</w: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end"/>
      </w:r>
      <w:bookmarkEnd w:id="4"/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por la cual se introducen reformas al Código Sustantivo del Trabajo y se dictan otras disposiciones.</w:t>
      </w:r>
    </w:p>
    <w:p w:rsidR="00DF4FD1" w:rsidRPr="00700BE4" w:rsidRDefault="00DF4FD1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</w:p>
    <w:bookmarkStart w:id="5" w:name="_ftn3"/>
    <w:p w:rsidR="00DF4FD1" w:rsidRDefault="00DF4FD1" w:rsidP="00DF4FD1">
      <w:pPr>
        <w:spacing w:line="240" w:lineRule="auto"/>
        <w:rPr>
          <w:rFonts w:eastAsia="Times New Roman" w:cs="Times New Roman"/>
          <w:i/>
          <w:iCs/>
          <w:color w:val="auto"/>
          <w:szCs w:val="24"/>
          <w:lang w:val="es-CO"/>
        </w:rPr>
      </w:pPr>
      <w:r w:rsidRPr="00700BE4">
        <w:rPr>
          <w:rFonts w:eastAsia="Times New Roman" w:cs="Times New Roman"/>
          <w:color w:val="auto"/>
          <w:szCs w:val="24"/>
          <w:lang w:val="es-CO"/>
        </w:rPr>
        <w:lastRenderedPageBreak/>
        <w:fldChar w:fldCharType="begin"/>
      </w:r>
      <w:r w:rsidRPr="00700BE4">
        <w:rPr>
          <w:rFonts w:eastAsia="Times New Roman" w:cs="Times New Roman"/>
          <w:color w:val="auto"/>
          <w:szCs w:val="24"/>
          <w:lang w:val="es-CO"/>
        </w:rPr>
        <w:instrText xml:space="preserve"> HYPERLINK "https://www.ceta.org.co/html/vista_de_un_documento.asp?DocumentoID=35041" \l "_ftnref3" \o "" </w:instrTex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separate"/>
      </w:r>
      <w:r w:rsidRPr="00700BE4">
        <w:rPr>
          <w:rFonts w:eastAsia="Times New Roman" w:cs="Times New Roman"/>
          <w:color w:val="auto"/>
          <w:szCs w:val="24"/>
          <w:lang w:val="es-CO"/>
        </w:rPr>
        <w:t>[3]</w:t>
      </w:r>
      <w:r w:rsidRPr="00700BE4">
        <w:rPr>
          <w:rFonts w:eastAsia="Times New Roman" w:cs="Times New Roman"/>
          <w:color w:val="auto"/>
          <w:szCs w:val="24"/>
          <w:lang w:val="es-CO"/>
        </w:rPr>
        <w:fldChar w:fldCharType="end"/>
      </w:r>
      <w:bookmarkEnd w:id="5"/>
      <w:r w:rsidRPr="00700BE4">
        <w:rPr>
          <w:rFonts w:eastAsia="Times New Roman" w:cs="Times New Roman"/>
          <w:color w:val="auto"/>
          <w:szCs w:val="24"/>
          <w:lang w:val="es-CO"/>
        </w:rPr>
        <w:t> </w:t>
      </w:r>
      <w:r w:rsidRPr="00700BE4">
        <w:rPr>
          <w:rFonts w:eastAsia="Times New Roman" w:cs="Times New Roman"/>
          <w:i/>
          <w:iCs/>
          <w:color w:val="auto"/>
          <w:szCs w:val="24"/>
          <w:lang w:val="es-CO"/>
        </w:rPr>
        <w:t>Por medio de la cual se regula el derecho fundamental de petición y se sustituye el Título del Código de Procedimiento Administrativo y de lo Contencioso Administrativo.</w:t>
      </w:r>
    </w:p>
    <w:p w:rsidR="004503CD" w:rsidRPr="00700BE4" w:rsidRDefault="004503CD" w:rsidP="00DF4FD1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>
        <w:rPr>
          <w:rFonts w:eastAsia="Times New Roman" w:cs="Times New Roman"/>
          <w:i/>
          <w:iCs/>
          <w:color w:val="auto"/>
          <w:szCs w:val="24"/>
          <w:lang w:val="es-CO"/>
        </w:rPr>
        <w:t>_________________________________________________________________________</w:t>
      </w:r>
      <w:bookmarkStart w:id="6" w:name="_GoBack"/>
      <w:bookmarkEnd w:id="6"/>
    </w:p>
    <w:p w:rsidR="00147980" w:rsidRPr="00700BE4" w:rsidRDefault="00147980">
      <w:pPr>
        <w:rPr>
          <w:rFonts w:cs="Times New Roman"/>
          <w:color w:val="auto"/>
          <w:szCs w:val="24"/>
          <w:lang w:val="es-CO"/>
        </w:rPr>
      </w:pPr>
    </w:p>
    <w:sectPr w:rsidR="00147980" w:rsidRPr="00700BE4" w:rsidSect="00B66046">
      <w:pgSz w:w="12191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D1"/>
    <w:rsid w:val="00147980"/>
    <w:rsid w:val="004503CD"/>
    <w:rsid w:val="00700BE4"/>
    <w:rsid w:val="00B66046"/>
    <w:rsid w:val="00D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03D6"/>
  <w15:chartTrackingRefBased/>
  <w15:docId w15:val="{12C232E9-6E72-43CB-AC1D-6720B229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2481" TargetMode="External"/><Relationship Id="rId5" Type="http://schemas.openxmlformats.org/officeDocument/2006/relationships/hyperlink" Target="https://www.ceta.org.co/html/vista_de_un_articulo.asp?Norma=42481" TargetMode="External"/><Relationship Id="rId4" Type="http://schemas.openxmlformats.org/officeDocument/2006/relationships/hyperlink" Target="https://www.ceta.org.co/html/vista_de_un_articulo.asp?Norma=4248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2018-09-22T16:07:00Z</dcterms:created>
  <dcterms:modified xsi:type="dcterms:W3CDTF">2018-09-23T01:51:00Z</dcterms:modified>
</cp:coreProperties>
</file>