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55" w:rsidRPr="003F3571" w:rsidRDefault="00FF0955" w:rsidP="00FF0955">
      <w:pPr>
        <w:spacing w:line="240" w:lineRule="auto"/>
        <w:jc w:val="center"/>
        <w:rPr>
          <w:rFonts w:eastAsia="Times New Roman" w:cs="Times New Roman"/>
          <w:color w:val="auto"/>
          <w:szCs w:val="24"/>
          <w:lang w:val="es-CO"/>
        </w:rPr>
      </w:pPr>
      <w:r w:rsidRPr="003F3571">
        <w:rPr>
          <w:rFonts w:eastAsia="Times New Roman" w:cs="Times New Roman"/>
          <w:b/>
          <w:bCs/>
          <w:color w:val="auto"/>
          <w:szCs w:val="24"/>
          <w:lang w:val="es-CO"/>
        </w:rPr>
        <w:t>Concepto Nº 002462</w:t>
      </w:r>
    </w:p>
    <w:p w:rsidR="00FF0955" w:rsidRPr="003F3571" w:rsidRDefault="00FF0955" w:rsidP="00FF0955">
      <w:pPr>
        <w:spacing w:line="240" w:lineRule="auto"/>
        <w:jc w:val="center"/>
        <w:rPr>
          <w:rFonts w:eastAsia="Times New Roman" w:cs="Times New Roman"/>
          <w:color w:val="auto"/>
          <w:szCs w:val="24"/>
          <w:lang w:val="es-CO"/>
        </w:rPr>
      </w:pPr>
      <w:r w:rsidRPr="003F3571">
        <w:rPr>
          <w:rFonts w:eastAsia="Times New Roman" w:cs="Times New Roman"/>
          <w:b/>
          <w:bCs/>
          <w:color w:val="auto"/>
          <w:szCs w:val="24"/>
          <w:lang w:val="es-CO"/>
        </w:rPr>
        <w:t>29-01-2018</w:t>
      </w:r>
    </w:p>
    <w:p w:rsidR="00FF0955" w:rsidRPr="003F3571" w:rsidRDefault="00FF0955" w:rsidP="00FF0955">
      <w:pPr>
        <w:spacing w:line="240" w:lineRule="auto"/>
        <w:jc w:val="center"/>
        <w:rPr>
          <w:rFonts w:eastAsia="Times New Roman" w:cs="Times New Roman"/>
          <w:color w:val="auto"/>
          <w:szCs w:val="24"/>
          <w:lang w:val="es-CO"/>
        </w:rPr>
      </w:pPr>
      <w:r w:rsidRPr="003F3571">
        <w:rPr>
          <w:rFonts w:eastAsia="Times New Roman" w:cs="Times New Roman"/>
          <w:b/>
          <w:bCs/>
          <w:color w:val="auto"/>
          <w:szCs w:val="24"/>
          <w:lang w:val="es-CO"/>
        </w:rPr>
        <w:t>Dirección de Apoyo Fiscal</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Radicado: 2-2018-002462</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Bogotá D.C.</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Doctor</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bookmarkStart w:id="0" w:name="_GoBack"/>
      <w:bookmarkEnd w:id="0"/>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rsidR="00FF0955" w:rsidRPr="003F3571" w:rsidRDefault="00FF0955" w:rsidP="00FF0955">
      <w:pPr>
        <w:spacing w:line="240" w:lineRule="auto"/>
        <w:rPr>
          <w:rFonts w:eastAsia="Times New Roman" w:cs="Times New Roman"/>
          <w:color w:val="auto"/>
          <w:szCs w:val="24"/>
          <w:lang w:val="es-CO"/>
        </w:rPr>
      </w:pPr>
      <w:hyperlink r:id="rId4" w:history="1">
        <w:r w:rsidRPr="003F3571">
          <w:rPr>
            <w:rFonts w:eastAsia="Times New Roman" w:cs="Times New Roman"/>
            <w:color w:val="auto"/>
            <w:szCs w:val="24"/>
            <w:u w:val="single"/>
            <w:lang w:val="es-CO"/>
          </w:rPr>
          <w:t>impuestos@puertogaitan-meta.gov.co</w:t>
        </w:r>
      </w:hyperlink>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Asunto:</w:t>
      </w:r>
      <w:r w:rsidRPr="003F3571">
        <w:rPr>
          <w:rFonts w:eastAsia="Times New Roman" w:cs="Times New Roman"/>
          <w:color w:val="auto"/>
          <w:szCs w:val="24"/>
          <w:lang w:val="es-CO"/>
        </w:rPr>
        <w:t> Oficio No. 1-2017-107515 del 26 de diciembre de 2017</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Tema:</w:t>
      </w:r>
      <w:r w:rsidRPr="003F3571">
        <w:rPr>
          <w:rFonts w:eastAsia="Times New Roman" w:cs="Times New Roman"/>
          <w:color w:val="auto"/>
          <w:szCs w:val="24"/>
          <w:lang w:val="es-CO"/>
        </w:rPr>
        <w:t> Procedimiento tributario - Régimen sancionatorio</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Subtema:</w:t>
      </w:r>
      <w:r w:rsidRPr="003F3571">
        <w:rPr>
          <w:rFonts w:eastAsia="Times New Roman" w:cs="Times New Roman"/>
          <w:color w:val="auto"/>
          <w:szCs w:val="24"/>
          <w:lang w:val="es-CO"/>
        </w:rPr>
        <w:t> Principio de favorabilidad</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Respetado doctor Rojas:</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En relación con su inquietud, es necesario recordar que de conformidad con el artículo 59 de la Ley 788 de 2002 las entidades territoriales deben aplicar el procedimiento tributario previsto en Estatuto Tributario Nacional. Señala la mencionada norma:</w:t>
      </w:r>
    </w:p>
    <w:p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i/>
          <w:iCs/>
          <w:color w:val="auto"/>
          <w:szCs w:val="24"/>
          <w:lang w:val="es-CO"/>
        </w:rPr>
        <w:t> </w:t>
      </w:r>
    </w:p>
    <w:p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b/>
          <w:bCs/>
          <w:i/>
          <w:iCs/>
          <w:color w:val="auto"/>
          <w:szCs w:val="24"/>
          <w:lang w:val="es-CO"/>
        </w:rPr>
        <w:t>“Artículo 59. Procedimiento tributario territorial. </w:t>
      </w:r>
      <w:r w:rsidRPr="003F3571">
        <w:rPr>
          <w:rFonts w:eastAsia="Times New Roman" w:cs="Times New Roman"/>
          <w:i/>
          <w:iCs/>
          <w:color w:val="auto"/>
          <w:szCs w:val="24"/>
          <w:lang w:val="es-CO"/>
        </w:rPr>
        <w:t>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i/>
          <w:iCs/>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Por su parte, el artículo 640 del ETN señala:</w:t>
      </w:r>
    </w:p>
    <w:p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color w:val="auto"/>
          <w:szCs w:val="24"/>
          <w:lang w:val="es-CO"/>
        </w:rPr>
        <w:lastRenderedPageBreak/>
        <w:t> </w:t>
      </w:r>
    </w:p>
    <w:p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color w:val="auto"/>
          <w:szCs w:val="24"/>
          <w:lang w:val="es-CO"/>
        </w:rPr>
        <w:t>“</w:t>
      </w:r>
      <w:r w:rsidRPr="003F3571">
        <w:rPr>
          <w:rFonts w:eastAsia="Times New Roman" w:cs="Times New Roman"/>
          <w:b/>
          <w:bCs/>
          <w:i/>
          <w:iCs/>
          <w:color w:val="auto"/>
          <w:szCs w:val="24"/>
          <w:lang w:val="es-CO"/>
        </w:rPr>
        <w:t>Artículo 640. Aplicación de los principios de lesividad, proporcionalidad, gradualidad y favorabilidad en el régimen sancionatorio</w:t>
      </w:r>
      <w:r w:rsidRPr="003F3571">
        <w:rPr>
          <w:rFonts w:eastAsia="Times New Roman" w:cs="Times New Roman"/>
          <w:i/>
          <w:iCs/>
          <w:color w:val="auto"/>
          <w:szCs w:val="24"/>
          <w:lang w:val="es-CO"/>
        </w:rPr>
        <w:t>. </w:t>
      </w:r>
      <w:r w:rsidRPr="003F3571">
        <w:rPr>
          <w:rFonts w:eastAsia="Times New Roman" w:cs="Times New Roman"/>
          <w:i/>
          <w:iCs/>
          <w:color w:val="auto"/>
          <w:szCs w:val="24"/>
          <w:u w:val="single"/>
          <w:lang w:val="es-CO"/>
        </w:rPr>
        <w:t>Para la aplicación del régimen sancionatorio establecido en el presente Estatuto se deberá atender a lo dispuesto en el presente artículo</w:t>
      </w:r>
      <w:r w:rsidRPr="003F3571">
        <w:rPr>
          <w:rFonts w:eastAsia="Times New Roman" w:cs="Times New Roman"/>
          <w:i/>
          <w:iCs/>
          <w:color w:val="auto"/>
          <w:szCs w:val="24"/>
          <w:lang w:val="es-CO"/>
        </w:rPr>
        <w:t>. (…)” </w:t>
      </w:r>
      <w:r w:rsidRPr="003F3571">
        <w:rPr>
          <w:rFonts w:eastAsia="Times New Roman" w:cs="Times New Roman"/>
          <w:color w:val="auto"/>
          <w:szCs w:val="24"/>
          <w:lang w:val="es-CO"/>
        </w:rPr>
        <w:t>(Subrayado nuestro)</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Como se puede ver, el mismo Estatuto Tributario se ocupa de señalar que los principios de lesividad, proporcionalidad, gradualidad y favorabilidad deben ser tenidos en cuenta para aplicar el régimen sancionatorio allí establecido.</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Cordialmente,</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rsidR="00FF0955" w:rsidRPr="003F3571" w:rsidRDefault="00FF0955" w:rsidP="00FF0955">
      <w:pPr>
        <w:spacing w:line="240" w:lineRule="auto"/>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rsidR="00FF0955" w:rsidRPr="003F3571" w:rsidRDefault="00FF0955" w:rsidP="00FF0955">
      <w:pPr>
        <w:spacing w:after="285" w:line="240" w:lineRule="auto"/>
        <w:rPr>
          <w:rFonts w:eastAsia="Times New Roman" w:cs="Times New Roman"/>
          <w:color w:val="auto"/>
          <w:szCs w:val="24"/>
        </w:rPr>
      </w:pPr>
      <w:r w:rsidRPr="003F3571">
        <w:rPr>
          <w:rFonts w:eastAsia="Times New Roman" w:cs="Times New Roman"/>
          <w:color w:val="auto"/>
          <w:szCs w:val="24"/>
        </w:rPr>
        <w:t> </w:t>
      </w:r>
    </w:p>
    <w:p w:rsidR="00147980" w:rsidRPr="003F3571" w:rsidRDefault="00147980">
      <w:pPr>
        <w:rPr>
          <w:rFonts w:cs="Times New Roman"/>
          <w:color w:val="auto"/>
          <w:szCs w:val="24"/>
        </w:rPr>
      </w:pPr>
    </w:p>
    <w:sectPr w:rsidR="00147980" w:rsidRPr="003F357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55"/>
    <w:rsid w:val="00147980"/>
    <w:rsid w:val="003F3571"/>
    <w:rsid w:val="00B6604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2018-04-18T01:19:00Z</dcterms:created>
  <dcterms:modified xsi:type="dcterms:W3CDTF">2018-04-22T14:40:00Z</dcterms:modified>
</cp:coreProperties>
</file>