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A4" w:rsidRDefault="00392DA4" w:rsidP="00392DA4">
      <w:pPr>
        <w:spacing w:after="0" w:line="240" w:lineRule="auto"/>
        <w:jc w:val="center"/>
        <w:rPr>
          <w:rFonts w:ascii="Segoe UI" w:eastAsia="Times New Roman" w:hAnsi="Segoe UI" w:cs="Segoe UI"/>
          <w:b/>
          <w:bCs/>
          <w:color w:val="0000FF"/>
          <w:sz w:val="28"/>
          <w:szCs w:val="28"/>
          <w:lang w:eastAsia="es-CO"/>
        </w:rPr>
      </w:pPr>
    </w:p>
    <w:p w:rsidR="00392DA4" w:rsidRDefault="00392DA4" w:rsidP="00392DA4">
      <w:pPr>
        <w:spacing w:after="0" w:line="240" w:lineRule="auto"/>
        <w:jc w:val="center"/>
        <w:rPr>
          <w:rFonts w:ascii="Segoe UI" w:eastAsia="Times New Roman" w:hAnsi="Segoe UI" w:cs="Segoe UI"/>
          <w:b/>
          <w:bCs/>
          <w:color w:val="0000FF"/>
          <w:sz w:val="28"/>
          <w:szCs w:val="28"/>
          <w:lang w:eastAsia="es-CO"/>
        </w:rPr>
      </w:pP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bookmarkStart w:id="0" w:name="_GoBack"/>
      <w:bookmarkEnd w:id="0"/>
      <w:r w:rsidRPr="00392DA4">
        <w:rPr>
          <w:rFonts w:ascii="Segoe UI" w:eastAsia="Times New Roman" w:hAnsi="Segoe UI" w:cs="Segoe UI"/>
          <w:b/>
          <w:bCs/>
          <w:color w:val="0000FF"/>
          <w:sz w:val="28"/>
          <w:szCs w:val="28"/>
          <w:lang w:eastAsia="es-CO"/>
        </w:rPr>
        <w:t>RESOLUCIÓN Nº 000001</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b/>
          <w:bCs/>
          <w:color w:val="0000FF"/>
          <w:sz w:val="28"/>
          <w:szCs w:val="28"/>
          <w:lang w:eastAsia="es-CO"/>
        </w:rPr>
        <w:t>03-01-2019</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b/>
          <w:bCs/>
          <w:color w:val="0000FF"/>
          <w:sz w:val="28"/>
          <w:szCs w:val="28"/>
          <w:lang w:eastAsia="es-CO"/>
        </w:rPr>
        <w:t>DIAN</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b/>
          <w:bCs/>
          <w:i/>
          <w:iCs/>
          <w:color w:val="0000FF"/>
          <w:sz w:val="22"/>
          <w:lang w:eastAsia="es-CO"/>
        </w:rPr>
        <w:t> </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b/>
          <w:bCs/>
          <w:i/>
          <w:iCs/>
          <w:color w:val="0000FF"/>
          <w:sz w:val="22"/>
          <w:lang w:eastAsia="es-CO"/>
        </w:rPr>
        <w:t> </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i/>
          <w:iCs/>
          <w:sz w:val="22"/>
          <w:lang w:eastAsia="es-CO"/>
        </w:rPr>
        <w:t>Mediante la cual se señalan las reglas y validaciones aplicables a la factura electrónica de que trata el </w:t>
      </w:r>
      <w:hyperlink r:id="rId4" w:tooltip="Estatuto Tributario CETA" w:history="1">
        <w:r w:rsidRPr="00392DA4">
          <w:rPr>
            <w:rFonts w:ascii="Segoe UI" w:eastAsia="Times New Roman" w:hAnsi="Segoe UI" w:cs="Segoe UI"/>
            <w:i/>
            <w:iCs/>
            <w:color w:val="0089E1"/>
            <w:sz w:val="22"/>
            <w:u w:val="single"/>
            <w:lang w:eastAsia="es-CO"/>
          </w:rPr>
          <w:t>artículo 616-1</w:t>
        </w:r>
      </w:hyperlink>
      <w:r w:rsidRPr="00392DA4">
        <w:rPr>
          <w:rFonts w:ascii="Segoe UI" w:eastAsia="Times New Roman" w:hAnsi="Segoe UI" w:cs="Segoe UI"/>
          <w:i/>
          <w:iCs/>
          <w:sz w:val="22"/>
          <w:lang w:eastAsia="es-CO"/>
        </w:rPr>
        <w:t> del Estatuto Tributario.</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El Director General de la Unidad Administrativa Especial Dirección de Impuestos y Aduanas Nacionales, en uso de las facultades legales y en especial las consagradas en el artículo 6° numerales 7 y 12 del Decreto 4048 de 2008, los artículos </w:t>
      </w:r>
      <w:hyperlink r:id="rId5" w:tooltip="Estatuto Tributario CETA" w:history="1">
        <w:r w:rsidRPr="00392DA4">
          <w:rPr>
            <w:rFonts w:ascii="Segoe UI" w:eastAsia="Times New Roman" w:hAnsi="Segoe UI" w:cs="Segoe UI"/>
            <w:color w:val="0089E1"/>
            <w:sz w:val="22"/>
            <w:u w:val="single"/>
            <w:lang w:eastAsia="es-CO"/>
          </w:rPr>
          <w:t>616-1</w:t>
        </w:r>
      </w:hyperlink>
      <w:r w:rsidRPr="00392DA4">
        <w:rPr>
          <w:rFonts w:ascii="Segoe UI" w:eastAsia="Times New Roman" w:hAnsi="Segoe UI" w:cs="Segoe UI"/>
          <w:color w:val="000000"/>
          <w:sz w:val="22"/>
          <w:lang w:eastAsia="es-CO"/>
        </w:rPr>
        <w:t> y </w:t>
      </w:r>
      <w:hyperlink r:id="rId6" w:tooltip="Estatuto Tributario CETA" w:history="1">
        <w:r w:rsidRPr="00392DA4">
          <w:rPr>
            <w:rFonts w:ascii="Segoe UI" w:eastAsia="Times New Roman" w:hAnsi="Segoe UI" w:cs="Segoe UI"/>
            <w:color w:val="0089E1"/>
            <w:sz w:val="22"/>
            <w:u w:val="single"/>
            <w:lang w:eastAsia="es-CO"/>
          </w:rPr>
          <w:t>684-2</w:t>
        </w:r>
      </w:hyperlink>
      <w:r w:rsidRPr="00392DA4">
        <w:rPr>
          <w:rFonts w:ascii="Segoe UI" w:eastAsia="Times New Roman" w:hAnsi="Segoe UI" w:cs="Segoe UI"/>
          <w:color w:val="000000"/>
          <w:sz w:val="22"/>
          <w:lang w:eastAsia="es-CO"/>
        </w:rPr>
        <w:t> del Estatuto Tributario.</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CONSIDERANDO:</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de conformidad con el artículo 26 de la Ley 962 de 2005 la factura electrónica podrá expedirse, aceptarse, archivarse y en general llevarse usando cualquier tipo de tecnología disponible, siempre y cuando se cumplan todos los requisitos legales establecidos y la respectiva tecnología que garantice su autenticidad e integridad desde su expedición y durante todo el tiempo de conservación, aplicando así el principio de neutralidad tecnológica.</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el </w:t>
      </w:r>
      <w:hyperlink r:id="rId7" w:tooltip="Estatuto Tributario CETA" w:history="1">
        <w:r w:rsidRPr="00392DA4">
          <w:rPr>
            <w:rFonts w:ascii="Segoe UI" w:eastAsia="Times New Roman" w:hAnsi="Segoe UI" w:cs="Segoe UI"/>
            <w:color w:val="0089E1"/>
            <w:sz w:val="22"/>
            <w:u w:val="single"/>
            <w:lang w:eastAsia="es-CO"/>
          </w:rPr>
          <w:t>artículo 684-2</w:t>
        </w:r>
      </w:hyperlink>
      <w:r w:rsidRPr="00392DA4">
        <w:rPr>
          <w:rFonts w:ascii="Segoe UI" w:eastAsia="Times New Roman" w:hAnsi="Segoe UI" w:cs="Segoe UI"/>
          <w:color w:val="000000"/>
          <w:sz w:val="22"/>
          <w:lang w:eastAsia="es-CO"/>
        </w:rPr>
        <w:t> del Estatuto Tributario señala que la Unidad Administrativa Especial Dirección de Impuestos y Aduanas Nacionales (DIAN) podrá prescribir que determinados contribuyentes o sectores, previa consideración de su capacidad económica, adopten sistemas técnicos razonables para el control de su actividad productora de renta, o implantar directamente los mismos, los cuales le servirán de base para la determinación de sus obligaciones tributarias.</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el parágrafo 1° del </w:t>
      </w:r>
      <w:hyperlink r:id="rId8" w:tooltip="Estatuto Tributario CETA" w:history="1">
        <w:r w:rsidRPr="00392DA4">
          <w:rPr>
            <w:rFonts w:ascii="Segoe UI" w:eastAsia="Times New Roman" w:hAnsi="Segoe UI" w:cs="Segoe UI"/>
            <w:color w:val="0089E1"/>
            <w:sz w:val="22"/>
            <w:u w:val="single"/>
            <w:lang w:eastAsia="es-CO"/>
          </w:rPr>
          <w:t>artículo 616-1</w:t>
        </w:r>
      </w:hyperlink>
      <w:r w:rsidRPr="00392DA4">
        <w:rPr>
          <w:rFonts w:ascii="Segoe UI" w:eastAsia="Times New Roman" w:hAnsi="Segoe UI" w:cs="Segoe UI"/>
          <w:color w:val="000000"/>
          <w:sz w:val="22"/>
          <w:lang w:eastAsia="es-CO"/>
        </w:rPr>
        <w:t> del Estatuto tributario señala que </w:t>
      </w:r>
      <w:r w:rsidRPr="00392DA4">
        <w:rPr>
          <w:rFonts w:ascii="Segoe UI" w:eastAsia="Times New Roman" w:hAnsi="Segoe UI" w:cs="Segoe UI"/>
          <w:i/>
          <w:iCs/>
          <w:color w:val="000000"/>
          <w:sz w:val="22"/>
          <w:lang w:eastAsia="es-CO"/>
        </w:rPr>
        <w:t>“Todas las facturas electrónicas para su reconocimiento tributario deberán ser validadas previo a su expedición, por la Dirección de Impuestos y Aduanas Nacionales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el parágrafo 2° del </w:t>
      </w:r>
      <w:hyperlink r:id="rId9" w:tooltip="Estatuto Tributario CETA" w:history="1">
        <w:r w:rsidRPr="00392DA4">
          <w:rPr>
            <w:rFonts w:ascii="Segoe UI" w:eastAsia="Times New Roman" w:hAnsi="Segoe UI" w:cs="Segoe UI"/>
            <w:color w:val="0089E1"/>
            <w:sz w:val="22"/>
            <w:u w:val="single"/>
            <w:lang w:eastAsia="es-CO"/>
          </w:rPr>
          <w:t>artículo 616-1</w:t>
        </w:r>
      </w:hyperlink>
      <w:r w:rsidRPr="00392DA4">
        <w:rPr>
          <w:rFonts w:ascii="Segoe UI" w:eastAsia="Times New Roman" w:hAnsi="Segoe UI" w:cs="Segoe UI"/>
          <w:color w:val="000000"/>
          <w:sz w:val="22"/>
          <w:lang w:eastAsia="es-CO"/>
        </w:rPr>
        <w:t> del Estatuto Tributario confiere facultades a la Unidad Administrativa Especial Dirección de Impuestos y Aduanas Nacionales (DIAN) para </w:t>
      </w:r>
      <w:r w:rsidRPr="00392DA4">
        <w:rPr>
          <w:rFonts w:ascii="Segoe UI" w:eastAsia="Times New Roman" w:hAnsi="Segoe UI" w:cs="Segoe UI"/>
          <w:i/>
          <w:iCs/>
          <w:color w:val="000000"/>
          <w:sz w:val="22"/>
          <w:lang w:eastAsia="es-CO"/>
        </w:rPr>
        <w:t xml:space="preserve">“(…)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w:t>
      </w:r>
      <w:r w:rsidRPr="00392DA4">
        <w:rPr>
          <w:rFonts w:ascii="Segoe UI" w:eastAsia="Times New Roman" w:hAnsi="Segoe UI" w:cs="Segoe UI"/>
          <w:i/>
          <w:iCs/>
          <w:color w:val="000000"/>
          <w:sz w:val="22"/>
          <w:lang w:eastAsia="es-CO"/>
        </w:rPr>
        <w:lastRenderedPageBreak/>
        <w:t>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el parágrafo transitorio 1° del </w:t>
      </w:r>
      <w:hyperlink r:id="rId10" w:tooltip="Estatuto Tributario CETA" w:history="1">
        <w:r w:rsidRPr="00392DA4">
          <w:rPr>
            <w:rFonts w:ascii="Segoe UI" w:eastAsia="Times New Roman" w:hAnsi="Segoe UI" w:cs="Segoe UI"/>
            <w:color w:val="0089E1"/>
            <w:sz w:val="22"/>
            <w:u w:val="single"/>
            <w:lang w:eastAsia="es-CO"/>
          </w:rPr>
          <w:t>artículo 616-1</w:t>
        </w:r>
      </w:hyperlink>
      <w:r w:rsidRPr="00392DA4">
        <w:rPr>
          <w:rFonts w:ascii="Segoe UI" w:eastAsia="Times New Roman" w:hAnsi="Segoe UI" w:cs="Segoe UI"/>
          <w:color w:val="000000"/>
          <w:sz w:val="22"/>
          <w:lang w:eastAsia="es-CO"/>
        </w:rPr>
        <w:t> del Estatuto Tributario indica respecto de los requisitos, condiciones y procedimientos establecidos en dicho artículo, que los mismos serán reglamentados por el Gobierno Nacional; entre tanto aplicarán las disposiciones que regulan la materia antes de la entrada en vigencia de la presente ley.</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se hace necesario adoptar el Anexo Técnico </w:t>
      </w:r>
      <w:r w:rsidRPr="00392DA4">
        <w:rPr>
          <w:rFonts w:ascii="Segoe UI" w:eastAsia="Times New Roman" w:hAnsi="Segoe UI" w:cs="Segoe UI"/>
          <w:i/>
          <w:iCs/>
          <w:color w:val="000000"/>
          <w:sz w:val="22"/>
          <w:lang w:eastAsia="es-CO"/>
        </w:rPr>
        <w:t>“Estructura UBL y Validaciones Factura Electrónica 2.1” </w:t>
      </w:r>
      <w:r w:rsidRPr="00392DA4">
        <w:rPr>
          <w:rFonts w:ascii="Segoe UI" w:eastAsia="Times New Roman" w:hAnsi="Segoe UI" w:cs="Segoe UI"/>
          <w:color w:val="000000"/>
          <w:sz w:val="22"/>
          <w:lang w:eastAsia="es-CO"/>
        </w:rPr>
        <w:t>en orden a aumentar las validaciones que realiza la Unidad Administrativa Especial Dirección de Impuestos y Aduanas Nacionales (DIAN) sobre el ejemplar de la factura electrónica que los contribuyentes envían por cada operación, con miras a que una vez se implemente la validación previa de que trata el </w:t>
      </w:r>
      <w:hyperlink r:id="rId11" w:tooltip="Estatuto Tributario CETA" w:history="1">
        <w:r w:rsidRPr="00392DA4">
          <w:rPr>
            <w:rFonts w:ascii="Segoe UI" w:eastAsia="Times New Roman" w:hAnsi="Segoe UI" w:cs="Segoe UI"/>
            <w:color w:val="0089E1"/>
            <w:sz w:val="22"/>
            <w:u w:val="single"/>
            <w:lang w:eastAsia="es-CO"/>
          </w:rPr>
          <w:t>artículo 616-1</w:t>
        </w:r>
      </w:hyperlink>
      <w:r w:rsidRPr="00392DA4">
        <w:rPr>
          <w:rFonts w:ascii="Segoe UI" w:eastAsia="Times New Roman" w:hAnsi="Segoe UI" w:cs="Segoe UI"/>
          <w:color w:val="000000"/>
          <w:sz w:val="22"/>
          <w:lang w:eastAsia="es-CO"/>
        </w:rPr>
        <w:t> del Estatuto Tributario de manera obligatoria, la Administración cuente con una malla de validaciones adecuada y consistente que coadyuve al mejoramiento del análisis y control de los datos allí contenidos.</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en consideración al carácter tecnológico de esta resolución, teniendo en cuenta que la factura electrónica con validación previa se encuentra en proceso de implementación, se hace necesario informar sobre los requisitos técnicos que a la fecha se han determinado por los proveedores de la plataforma del sistema.</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Que cumplida la formalidad prevista en el numeral 8 del artículo 8° del Código de Procedimiento Administrativo y de lo Contencioso Administrativo en relación con el texto de la presente resolución, el Director General de la Unidad Administrativa Especial Dirección de Impuestos y Aduanas Nacionales,</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center"/>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RESUELVE:</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Artículo 1º.</w:t>
      </w:r>
      <w:r w:rsidRPr="00392DA4">
        <w:rPr>
          <w:rFonts w:ascii="Segoe UI" w:eastAsia="Times New Roman" w:hAnsi="Segoe UI" w:cs="Segoe UI"/>
          <w:color w:val="000000"/>
          <w:sz w:val="22"/>
          <w:lang w:eastAsia="es-CO"/>
        </w:rPr>
        <w:t> Adoptar las reglas y validaciones aplicables a la factura electrónica con validación previa de que trata el </w:t>
      </w:r>
      <w:hyperlink r:id="rId12" w:tooltip="Estatuto Tributario CETA" w:history="1">
        <w:r w:rsidRPr="00392DA4">
          <w:rPr>
            <w:rFonts w:ascii="Segoe UI" w:eastAsia="Times New Roman" w:hAnsi="Segoe UI" w:cs="Segoe UI"/>
            <w:color w:val="0089E1"/>
            <w:sz w:val="22"/>
            <w:u w:val="single"/>
            <w:lang w:eastAsia="es-CO"/>
          </w:rPr>
          <w:t>artículo 616-1</w:t>
        </w:r>
      </w:hyperlink>
      <w:r w:rsidRPr="00392DA4">
        <w:rPr>
          <w:rFonts w:ascii="Segoe UI" w:eastAsia="Times New Roman" w:hAnsi="Segoe UI" w:cs="Segoe UI"/>
          <w:color w:val="000000"/>
          <w:sz w:val="22"/>
          <w:lang w:eastAsia="es-CO"/>
        </w:rPr>
        <w:t> del Estatuto Tributario, contenidas en el Anexo Técnico </w:t>
      </w:r>
      <w:r w:rsidRPr="00392DA4">
        <w:rPr>
          <w:rFonts w:ascii="Segoe UI" w:eastAsia="Times New Roman" w:hAnsi="Segoe UI" w:cs="Segoe UI"/>
          <w:i/>
          <w:iCs/>
          <w:color w:val="000000"/>
          <w:sz w:val="22"/>
          <w:lang w:eastAsia="es-CO"/>
        </w:rPr>
        <w:t>“Estructura UBL y Validaciones Factura Electrónica 2.1” </w:t>
      </w:r>
      <w:r w:rsidRPr="00392DA4">
        <w:rPr>
          <w:rFonts w:ascii="Segoe UI" w:eastAsia="Times New Roman" w:hAnsi="Segoe UI" w:cs="Segoe UI"/>
          <w:color w:val="000000"/>
          <w:sz w:val="22"/>
          <w:lang w:eastAsia="es-CO"/>
        </w:rPr>
        <w:t>que hace parte integral de la presente resolución.</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Artículo 2º.</w:t>
      </w:r>
      <w:r w:rsidRPr="00392DA4">
        <w:rPr>
          <w:rFonts w:ascii="Segoe UI" w:eastAsia="Times New Roman" w:hAnsi="Segoe UI" w:cs="Segoe UI"/>
          <w:color w:val="000000"/>
          <w:sz w:val="22"/>
          <w:lang w:eastAsia="es-CO"/>
        </w:rPr>
        <w:t> </w:t>
      </w:r>
      <w:r w:rsidRPr="00392DA4">
        <w:rPr>
          <w:rFonts w:ascii="Segoe UI" w:eastAsia="Times New Roman" w:hAnsi="Segoe UI" w:cs="Segoe UI"/>
          <w:i/>
          <w:iCs/>
          <w:color w:val="000000"/>
          <w:sz w:val="22"/>
          <w:lang w:eastAsia="es-CO"/>
        </w:rPr>
        <w:t>Vigencia</w:t>
      </w:r>
      <w:r w:rsidRPr="00392DA4">
        <w:rPr>
          <w:rFonts w:ascii="Segoe UI" w:eastAsia="Times New Roman" w:hAnsi="Segoe UI" w:cs="Segoe UI"/>
          <w:color w:val="000000"/>
          <w:sz w:val="22"/>
          <w:lang w:eastAsia="es-CO"/>
        </w:rPr>
        <w:t>. La presente resolución rige a partir de la fecha en la que entre en vigencia la factura electrónica con validación previa de que trata el </w:t>
      </w:r>
      <w:hyperlink r:id="rId13" w:tooltip="Estatuto Tributario CETA" w:history="1">
        <w:r w:rsidRPr="00392DA4">
          <w:rPr>
            <w:rFonts w:ascii="Segoe UI" w:eastAsia="Times New Roman" w:hAnsi="Segoe UI" w:cs="Segoe UI"/>
            <w:color w:val="0089E1"/>
            <w:sz w:val="22"/>
            <w:u w:val="single"/>
            <w:lang w:eastAsia="es-CO"/>
          </w:rPr>
          <w:t>artículo 616-1</w:t>
        </w:r>
      </w:hyperlink>
      <w:r w:rsidRPr="00392DA4">
        <w:rPr>
          <w:rFonts w:ascii="Segoe UI" w:eastAsia="Times New Roman" w:hAnsi="Segoe UI" w:cs="Segoe UI"/>
          <w:color w:val="000000"/>
          <w:sz w:val="22"/>
          <w:lang w:eastAsia="es-CO"/>
        </w:rPr>
        <w:t> del Estatuto Tributario.</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t>Publíquese y cúmplase.</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Dada en Bogotá, D. C., a 3 de enero de 2019.</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color w:val="000000"/>
          <w:sz w:val="22"/>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2"/>
          <w:lang w:eastAsia="es-CO"/>
        </w:rPr>
        <w:lastRenderedPageBreak/>
        <w:t>La Directora General (E),</w:t>
      </w:r>
    </w:p>
    <w:p w:rsidR="00392DA4" w:rsidRPr="00392DA4" w:rsidRDefault="00392DA4" w:rsidP="00392DA4">
      <w:pPr>
        <w:spacing w:after="0" w:line="240" w:lineRule="auto"/>
        <w:jc w:val="right"/>
        <w:rPr>
          <w:rFonts w:ascii="Arial" w:eastAsia="Times New Roman" w:hAnsi="Arial" w:cs="Arial"/>
          <w:color w:val="000000"/>
          <w:sz w:val="18"/>
          <w:szCs w:val="18"/>
          <w:lang w:eastAsia="es-CO"/>
        </w:rPr>
      </w:pPr>
      <w:r w:rsidRPr="00392DA4">
        <w:rPr>
          <w:rFonts w:ascii="Segoe UI" w:eastAsia="Times New Roman" w:hAnsi="Segoe UI" w:cs="Segoe UI"/>
          <w:b/>
          <w:bCs/>
          <w:i/>
          <w:iCs/>
          <w:color w:val="000000"/>
          <w:sz w:val="18"/>
          <w:szCs w:val="18"/>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i/>
          <w:iCs/>
          <w:color w:val="000000"/>
          <w:sz w:val="18"/>
          <w:szCs w:val="18"/>
          <w:lang w:eastAsia="es-CO"/>
        </w:rPr>
        <w:t xml:space="preserve">Gabriela Barriga </w:t>
      </w:r>
      <w:proofErr w:type="spellStart"/>
      <w:r w:rsidRPr="00392DA4">
        <w:rPr>
          <w:rFonts w:ascii="Segoe UI" w:eastAsia="Times New Roman" w:hAnsi="Segoe UI" w:cs="Segoe UI"/>
          <w:i/>
          <w:iCs/>
          <w:color w:val="000000"/>
          <w:sz w:val="18"/>
          <w:szCs w:val="18"/>
          <w:lang w:eastAsia="es-CO"/>
        </w:rPr>
        <w:t>Lesmes</w:t>
      </w:r>
      <w:proofErr w:type="spellEnd"/>
      <w:r w:rsidRPr="00392DA4">
        <w:rPr>
          <w:rFonts w:ascii="Segoe UI" w:eastAsia="Times New Roman" w:hAnsi="Segoe UI" w:cs="Segoe UI"/>
          <w:i/>
          <w:iCs/>
          <w:color w:val="000000"/>
          <w:sz w:val="18"/>
          <w:szCs w:val="18"/>
          <w:lang w:eastAsia="es-CO"/>
        </w:rPr>
        <w:t>.</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i/>
          <w:iCs/>
          <w:color w:val="000000"/>
          <w:sz w:val="18"/>
          <w:szCs w:val="18"/>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i/>
          <w:iCs/>
          <w:color w:val="000000"/>
          <w:sz w:val="18"/>
          <w:szCs w:val="18"/>
          <w:lang w:eastAsia="es-CO"/>
        </w:rPr>
        <w:t> </w:t>
      </w:r>
    </w:p>
    <w:p w:rsidR="00392DA4" w:rsidRPr="00392DA4" w:rsidRDefault="00392DA4" w:rsidP="00392DA4">
      <w:pPr>
        <w:spacing w:after="0" w:line="240" w:lineRule="auto"/>
        <w:jc w:val="both"/>
        <w:rPr>
          <w:rFonts w:ascii="Arial" w:eastAsia="Times New Roman" w:hAnsi="Arial" w:cs="Arial"/>
          <w:color w:val="000000"/>
          <w:sz w:val="18"/>
          <w:szCs w:val="18"/>
          <w:lang w:eastAsia="es-CO"/>
        </w:rPr>
      </w:pPr>
      <w:r w:rsidRPr="00392DA4">
        <w:rPr>
          <w:rFonts w:ascii="Segoe UI" w:eastAsia="Times New Roman" w:hAnsi="Segoe UI" w:cs="Segoe UI"/>
          <w:b/>
          <w:bCs/>
          <w:color w:val="000000"/>
          <w:sz w:val="20"/>
          <w:szCs w:val="20"/>
          <w:lang w:eastAsia="es-CO"/>
        </w:rPr>
        <w:t>Publicada en D.O. 50.833 del 11 de enero de 2019.</w:t>
      </w:r>
    </w:p>
    <w:p w:rsidR="00392DA4" w:rsidRPr="00392DA4" w:rsidRDefault="00392DA4" w:rsidP="00392DA4">
      <w:pPr>
        <w:spacing w:after="285" w:line="240" w:lineRule="auto"/>
        <w:jc w:val="both"/>
        <w:rPr>
          <w:rFonts w:ascii="Arial" w:eastAsia="Times New Roman" w:hAnsi="Arial" w:cs="Arial"/>
          <w:color w:val="000000"/>
          <w:sz w:val="18"/>
          <w:szCs w:val="18"/>
          <w:lang w:eastAsia="es-CO"/>
        </w:rPr>
      </w:pPr>
      <w:r w:rsidRPr="00392DA4">
        <w:rPr>
          <w:rFonts w:ascii="Arial" w:eastAsia="Times New Roman" w:hAnsi="Arial" w:cs="Arial"/>
          <w:color w:val="000000"/>
          <w:sz w:val="18"/>
          <w:szCs w:val="18"/>
          <w:lang w:eastAsia="es-CO"/>
        </w:rPr>
        <w:t> </w:t>
      </w:r>
    </w:p>
    <w:p w:rsidR="00730617" w:rsidRDefault="00730617"/>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A4"/>
    <w:rsid w:val="00392DA4"/>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7BAF"/>
  <w15:chartTrackingRefBased/>
  <w15:docId w15:val="{C63BC527-2B97-4941-A320-5F722FBC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53" TargetMode="External"/><Relationship Id="rId12" Type="http://schemas.openxmlformats.org/officeDocument/2006/relationships/hyperlink" Target="https://www.ceta.org.co/html/vista_de_un_articulo.asp?Norma=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53" TargetMode="External"/><Relationship Id="rId11" Type="http://schemas.openxmlformats.org/officeDocument/2006/relationships/hyperlink" Target="https://www.ceta.org.co/html/vista_de_un_articulo.asp?Norma=758" TargetMode="External"/><Relationship Id="rId5" Type="http://schemas.openxmlformats.org/officeDocument/2006/relationships/hyperlink" Target="https://www.ceta.org.co/html/vista_de_un_articulo.asp?Norma=758" TargetMode="External"/><Relationship Id="rId15" Type="http://schemas.openxmlformats.org/officeDocument/2006/relationships/theme" Target="theme/theme1.xml"/><Relationship Id="rId10" Type="http://schemas.openxmlformats.org/officeDocument/2006/relationships/hyperlink" Target="https://www.ceta.org.co/html/vista_de_un_articulo.asp?Norma=758" TargetMode="External"/><Relationship Id="rId4" Type="http://schemas.openxmlformats.org/officeDocument/2006/relationships/hyperlink" Target="https://www.ceta.org.co/html/vista_de_un_articulo.asp?Norma=758" TargetMode="External"/><Relationship Id="rId9" Type="http://schemas.openxmlformats.org/officeDocument/2006/relationships/hyperlink" Target="https://www.ceta.org.co/html/vista_de_un_articulo.asp?Norma=75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2019-01-18T00:14:00Z</dcterms:created>
  <dcterms:modified xsi:type="dcterms:W3CDTF">2019-01-18T00:18:00Z</dcterms:modified>
</cp:coreProperties>
</file>