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F59" w:rsidRPr="005849DC" w:rsidRDefault="00DC1F59" w:rsidP="00DC1F59">
      <w:pPr>
        <w:spacing w:line="240" w:lineRule="auto"/>
        <w:jc w:val="center"/>
        <w:rPr>
          <w:rFonts w:eastAsia="Times New Roman" w:cs="Times New Roman"/>
          <w:color w:val="auto"/>
          <w:szCs w:val="24"/>
          <w:lang w:val="es-CO"/>
        </w:rPr>
      </w:pPr>
      <w:r w:rsidRPr="005849DC">
        <w:rPr>
          <w:rFonts w:eastAsia="Times New Roman" w:cs="Times New Roman"/>
          <w:b/>
          <w:bCs/>
          <w:color w:val="auto"/>
          <w:szCs w:val="24"/>
          <w:lang w:val="es-CO"/>
        </w:rPr>
        <w:t>OFICIO Nº 033241</w:t>
      </w:r>
    </w:p>
    <w:p w:rsidR="00DC1F59" w:rsidRPr="005849DC" w:rsidRDefault="00DC1F59" w:rsidP="00DC1F59">
      <w:pPr>
        <w:spacing w:line="240" w:lineRule="auto"/>
        <w:jc w:val="center"/>
        <w:rPr>
          <w:rFonts w:eastAsia="Times New Roman" w:cs="Times New Roman"/>
          <w:color w:val="auto"/>
          <w:szCs w:val="24"/>
          <w:lang w:val="es-CO"/>
        </w:rPr>
      </w:pPr>
      <w:r w:rsidRPr="005849DC">
        <w:rPr>
          <w:rFonts w:eastAsia="Times New Roman" w:cs="Times New Roman"/>
          <w:b/>
          <w:bCs/>
          <w:color w:val="auto"/>
          <w:szCs w:val="24"/>
          <w:lang w:val="es-CO"/>
        </w:rPr>
        <w:t>12-12-2017</w:t>
      </w:r>
    </w:p>
    <w:p w:rsidR="00DC1F59" w:rsidRPr="005849DC" w:rsidRDefault="00DC1F59" w:rsidP="00DC1F59">
      <w:pPr>
        <w:spacing w:line="240" w:lineRule="auto"/>
        <w:jc w:val="center"/>
        <w:rPr>
          <w:rFonts w:eastAsia="Times New Roman" w:cs="Times New Roman"/>
          <w:color w:val="auto"/>
          <w:szCs w:val="24"/>
          <w:lang w:val="es-CO"/>
        </w:rPr>
      </w:pPr>
      <w:r w:rsidRPr="005849DC">
        <w:rPr>
          <w:rFonts w:eastAsia="Times New Roman" w:cs="Times New Roman"/>
          <w:b/>
          <w:bCs/>
          <w:color w:val="auto"/>
          <w:szCs w:val="24"/>
          <w:lang w:val="es-CO"/>
        </w:rPr>
        <w:t>DIAN</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b/>
          <w:bCs/>
          <w:color w:val="auto"/>
          <w:szCs w:val="24"/>
          <w:lang w:val="es-CO"/>
        </w:rPr>
        <w:t> </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b/>
          <w:bCs/>
          <w:color w:val="auto"/>
          <w:szCs w:val="24"/>
          <w:lang w:val="es-CO"/>
        </w:rPr>
        <w:t> </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Subdirección de Gestión Normativa y Doctrina</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Bogotá, D.C./100208221-001808</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 </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Señor</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b/>
          <w:bCs/>
          <w:color w:val="auto"/>
          <w:szCs w:val="24"/>
          <w:lang w:val="es-CO"/>
        </w:rPr>
        <w:t>ALEXANDER FÉLIX GRAS TRESPALACIOS</w:t>
      </w:r>
    </w:p>
    <w:p w:rsidR="00DC1F59" w:rsidRPr="005849DC" w:rsidRDefault="00DC1F59" w:rsidP="00DC1F59">
      <w:pPr>
        <w:spacing w:line="240" w:lineRule="auto"/>
        <w:rPr>
          <w:rFonts w:eastAsia="Times New Roman" w:cs="Times New Roman"/>
          <w:color w:val="auto"/>
          <w:szCs w:val="24"/>
        </w:rPr>
      </w:pPr>
      <w:proofErr w:type="spellStart"/>
      <w:r w:rsidRPr="005849DC">
        <w:rPr>
          <w:rFonts w:eastAsia="Times New Roman" w:cs="Times New Roman"/>
          <w:color w:val="auto"/>
          <w:szCs w:val="24"/>
        </w:rPr>
        <w:t>Cra</w:t>
      </w:r>
      <w:proofErr w:type="spellEnd"/>
      <w:r w:rsidRPr="005849DC">
        <w:rPr>
          <w:rFonts w:eastAsia="Times New Roman" w:cs="Times New Roman"/>
          <w:color w:val="auto"/>
          <w:szCs w:val="24"/>
        </w:rPr>
        <w:t xml:space="preserve"> 73 163 21 </w:t>
      </w:r>
      <w:proofErr w:type="spellStart"/>
      <w:r w:rsidRPr="005849DC">
        <w:rPr>
          <w:rFonts w:eastAsia="Times New Roman" w:cs="Times New Roman"/>
          <w:color w:val="auto"/>
          <w:szCs w:val="24"/>
        </w:rPr>
        <w:t>Ap</w:t>
      </w:r>
      <w:proofErr w:type="spellEnd"/>
      <w:r w:rsidRPr="005849DC">
        <w:rPr>
          <w:rFonts w:eastAsia="Times New Roman" w:cs="Times New Roman"/>
          <w:color w:val="auto"/>
          <w:szCs w:val="24"/>
        </w:rPr>
        <w:t xml:space="preserve"> 332</w:t>
      </w:r>
    </w:p>
    <w:p w:rsidR="00DC1F59" w:rsidRPr="005849DC" w:rsidRDefault="00A67F62" w:rsidP="00DC1F59">
      <w:pPr>
        <w:spacing w:line="240" w:lineRule="auto"/>
        <w:rPr>
          <w:rFonts w:eastAsia="Times New Roman" w:cs="Times New Roman"/>
          <w:color w:val="auto"/>
          <w:szCs w:val="24"/>
        </w:rPr>
      </w:pPr>
      <w:hyperlink r:id="rId4" w:history="1">
        <w:r w:rsidR="00DC1F59" w:rsidRPr="005849DC">
          <w:rPr>
            <w:rFonts w:eastAsia="Times New Roman" w:cs="Times New Roman"/>
            <w:color w:val="auto"/>
            <w:szCs w:val="24"/>
            <w:u w:val="single"/>
          </w:rPr>
          <w:t>alexander.gras@yahoo.es</w:t>
        </w:r>
      </w:hyperlink>
    </w:p>
    <w:p w:rsidR="00DC1F59" w:rsidRPr="005849DC" w:rsidRDefault="00DC1F59" w:rsidP="00DC1F59">
      <w:pPr>
        <w:spacing w:line="240" w:lineRule="auto"/>
        <w:rPr>
          <w:rFonts w:eastAsia="Times New Roman" w:cs="Times New Roman"/>
          <w:color w:val="auto"/>
          <w:szCs w:val="24"/>
        </w:rPr>
      </w:pPr>
      <w:r w:rsidRPr="005849DC">
        <w:rPr>
          <w:rFonts w:eastAsia="Times New Roman" w:cs="Times New Roman"/>
          <w:color w:val="auto"/>
          <w:szCs w:val="24"/>
        </w:rPr>
        <w:t>Bogotá, D.C.</w:t>
      </w:r>
    </w:p>
    <w:p w:rsidR="00DC1F59" w:rsidRPr="005849DC" w:rsidRDefault="00DC1F59" w:rsidP="00DC1F59">
      <w:pPr>
        <w:spacing w:line="240" w:lineRule="auto"/>
        <w:rPr>
          <w:rFonts w:eastAsia="Times New Roman" w:cs="Times New Roman"/>
          <w:color w:val="auto"/>
          <w:szCs w:val="24"/>
        </w:rPr>
      </w:pPr>
      <w:r w:rsidRPr="005849DC">
        <w:rPr>
          <w:rFonts w:eastAsia="Times New Roman" w:cs="Times New Roman"/>
          <w:color w:val="auto"/>
          <w:szCs w:val="24"/>
        </w:rPr>
        <w:t> </w:t>
      </w:r>
    </w:p>
    <w:p w:rsidR="00DC1F59" w:rsidRPr="005849DC" w:rsidRDefault="00DC1F59" w:rsidP="00DC1F59">
      <w:pPr>
        <w:spacing w:line="240" w:lineRule="auto"/>
        <w:rPr>
          <w:rFonts w:eastAsia="Times New Roman" w:cs="Times New Roman"/>
          <w:color w:val="auto"/>
          <w:szCs w:val="24"/>
          <w:lang w:val="es-CO"/>
        </w:rPr>
      </w:pPr>
      <w:proofErr w:type="spellStart"/>
      <w:r w:rsidRPr="005849DC">
        <w:rPr>
          <w:rFonts w:eastAsia="Times New Roman" w:cs="Times New Roman"/>
          <w:b/>
          <w:bCs/>
          <w:color w:val="auto"/>
          <w:szCs w:val="24"/>
          <w:lang w:val="es-CO"/>
        </w:rPr>
        <w:t>Ref</w:t>
      </w:r>
      <w:proofErr w:type="spellEnd"/>
      <w:r w:rsidRPr="005849DC">
        <w:rPr>
          <w:rFonts w:eastAsia="Times New Roman" w:cs="Times New Roman"/>
          <w:b/>
          <w:bCs/>
          <w:color w:val="auto"/>
          <w:szCs w:val="24"/>
          <w:lang w:val="es-CO"/>
        </w:rPr>
        <w:t>:</w:t>
      </w:r>
      <w:r w:rsidRPr="005849DC">
        <w:rPr>
          <w:rFonts w:eastAsia="Times New Roman" w:cs="Times New Roman"/>
          <w:color w:val="auto"/>
          <w:szCs w:val="24"/>
          <w:lang w:val="es-CO"/>
        </w:rPr>
        <w:t> Radicado 100065727 del 03/10/2017</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 </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b/>
          <w:bCs/>
          <w:color w:val="auto"/>
          <w:szCs w:val="24"/>
          <w:lang w:val="es-CO"/>
        </w:rPr>
        <w:t>Tema: </w:t>
      </w:r>
      <w:r w:rsidRPr="005849DC">
        <w:rPr>
          <w:rFonts w:eastAsia="Times New Roman" w:cs="Times New Roman"/>
          <w:color w:val="auto"/>
          <w:szCs w:val="24"/>
          <w:lang w:val="es-CO"/>
        </w:rPr>
        <w:t>Impuesto sobre la renta y complementarios</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b/>
          <w:bCs/>
          <w:color w:val="auto"/>
          <w:szCs w:val="24"/>
          <w:lang w:val="es-CO"/>
        </w:rPr>
        <w:t>Descriptores: </w:t>
      </w:r>
      <w:r w:rsidRPr="005849DC">
        <w:rPr>
          <w:rFonts w:eastAsia="Times New Roman" w:cs="Times New Roman"/>
          <w:color w:val="auto"/>
          <w:szCs w:val="24"/>
          <w:lang w:val="es-CO"/>
        </w:rPr>
        <w:t>Convenio Colombia-Suiza para evitar la doble imposición. Patrimonio/Inmuebles</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b/>
          <w:bCs/>
          <w:color w:val="auto"/>
          <w:szCs w:val="24"/>
          <w:lang w:val="es-CO"/>
        </w:rPr>
        <w:t>Fuentes Formales: </w:t>
      </w:r>
      <w:r w:rsidRPr="005849DC">
        <w:rPr>
          <w:rFonts w:eastAsia="Times New Roman" w:cs="Times New Roman"/>
          <w:color w:val="auto"/>
          <w:szCs w:val="24"/>
          <w:lang w:val="es-CO"/>
        </w:rPr>
        <w:t>Ley 1344 de 2009- CDI. Estatuto Tributario </w:t>
      </w:r>
      <w:hyperlink r:id="rId5" w:tooltip="Estatuto Tributario CETA" w:history="1">
        <w:r w:rsidRPr="005849DC">
          <w:rPr>
            <w:rFonts w:eastAsia="Times New Roman" w:cs="Times New Roman"/>
            <w:color w:val="auto"/>
            <w:szCs w:val="24"/>
            <w:u w:val="single"/>
            <w:lang w:val="es-CO"/>
          </w:rPr>
          <w:t>art 9</w:t>
        </w:r>
      </w:hyperlink>
      <w:r w:rsidRPr="005849DC">
        <w:rPr>
          <w:rFonts w:eastAsia="Times New Roman" w:cs="Times New Roman"/>
          <w:color w:val="auto"/>
          <w:szCs w:val="24"/>
          <w:lang w:val="es-CO"/>
        </w:rPr>
        <w:t>.</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 </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 </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 </w:t>
      </w:r>
    </w:p>
    <w:p w:rsidR="00DC1F59" w:rsidRPr="00A67F62" w:rsidRDefault="00DC1F59" w:rsidP="00DC1F59">
      <w:pPr>
        <w:spacing w:line="240" w:lineRule="auto"/>
        <w:rPr>
          <w:rFonts w:eastAsia="Times New Roman" w:cs="Times New Roman"/>
          <w:b/>
          <w:color w:val="auto"/>
          <w:szCs w:val="24"/>
          <w:lang w:val="es-CO"/>
        </w:rPr>
      </w:pPr>
      <w:r w:rsidRPr="00A67F62">
        <w:rPr>
          <w:rFonts w:eastAsia="Times New Roman" w:cs="Times New Roman"/>
          <w:b/>
          <w:color w:val="auto"/>
          <w:szCs w:val="24"/>
          <w:lang w:val="es-CO"/>
        </w:rPr>
        <w:t>En el marco del Convenio para Evitar la Doble Imposición celebrado entre la República de Colombia y la Confederación Suiza, solicita se conceptúe acerca de cómo debe declarar un residente colombiano, un inmueble que posee en Suiza.</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 </w:t>
      </w:r>
    </w:p>
    <w:p w:rsidR="00DC1F59" w:rsidRPr="00A67F62" w:rsidRDefault="00DC1F59" w:rsidP="00DC1F59">
      <w:pPr>
        <w:spacing w:line="240" w:lineRule="auto"/>
        <w:rPr>
          <w:rFonts w:eastAsia="Times New Roman" w:cs="Times New Roman"/>
          <w:b/>
          <w:color w:val="auto"/>
          <w:szCs w:val="24"/>
          <w:lang w:val="es-CO"/>
        </w:rPr>
      </w:pPr>
      <w:r w:rsidRPr="00A67F62">
        <w:rPr>
          <w:rFonts w:eastAsia="Times New Roman" w:cs="Times New Roman"/>
          <w:b/>
          <w:color w:val="auto"/>
          <w:szCs w:val="24"/>
          <w:lang w:val="es-CO"/>
        </w:rPr>
        <w:t>Para el efecto cita el Artículo 6 numerales 1 y 3 del CDI acerca de los rendimientos obtenidos por estos inmuebles, así como el Artículo 22 sobre la imposición del patrimonio. Considera que el inmueble debería tenerse en cuenta para presentar la declaración anual de activos en el exterior, mas no para la declaración de renta, pues a su juicio incluirlo en esta conllevaría que tribute en Colombia cuando ya fue gravado en Suiza dado que los rendimientos que genera el inmueble se añaden a los “ingresos imponibles” según la ley tributaria Suiza.</w:t>
      </w:r>
    </w:p>
    <w:p w:rsidR="00DC1F59" w:rsidRPr="00A67F62" w:rsidRDefault="00DC1F59" w:rsidP="00DC1F59">
      <w:pPr>
        <w:spacing w:line="240" w:lineRule="auto"/>
        <w:rPr>
          <w:rFonts w:eastAsia="Times New Roman" w:cs="Times New Roman"/>
          <w:b/>
          <w:color w:val="auto"/>
          <w:szCs w:val="24"/>
          <w:lang w:val="es-CO"/>
        </w:rPr>
      </w:pPr>
      <w:r w:rsidRPr="00A67F62">
        <w:rPr>
          <w:rFonts w:eastAsia="Times New Roman" w:cs="Times New Roman"/>
          <w:b/>
          <w:color w:val="auto"/>
          <w:szCs w:val="24"/>
          <w:lang w:val="es-CO"/>
        </w:rPr>
        <w:t> </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b/>
          <w:bCs/>
          <w:color w:val="auto"/>
          <w:szCs w:val="24"/>
          <w:lang w:val="es-CO"/>
        </w:rPr>
        <w:t>RESPUESTA</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b/>
          <w:bCs/>
          <w:color w:val="auto"/>
          <w:szCs w:val="24"/>
          <w:lang w:val="es-CO"/>
        </w:rPr>
        <w:t> </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En relación con del (sic) Convenio suscrito entre la República de Colombia y la Confederación Suiza para evitar la doble imposición en materia de impuestos sobre la Renta y el Patrimonio –en adelante CDI- y antes de referirnos al tema específico, debemos señalar que la finalidad de estos Convenios consiste no solo en plantear mecanismos para eliminar la doble imposición internacional sino también en determinar el reparto de la potestad tributaria de los Estados Contratantes y cómo será ejercida, es decir si la atribución para gravar determinada renta corresponde al Estado de la fuente-ingreso o al Estado de la residencia o si los dos Estados comparten dicha potestad tributaria y en qué condiciones o límites.</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 </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Cuando la potestad impositiva frente a determinada renta es compartida por los dos Estados a efectos de evitar la doble imposición jurídica internacional, habrá de acudirse a las disposiciones de la cláusula relativa a los “Métodos para Eliminar la Doble Imposición.”</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 </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Sobre estos aspectos se pronunció este Despacho en el Concepto No. 103513 del 17 de diciembre de 2009:</w:t>
      </w:r>
    </w:p>
    <w:p w:rsidR="00DC1F59" w:rsidRPr="005849DC" w:rsidRDefault="00DC1F59" w:rsidP="00DC1F59">
      <w:pPr>
        <w:spacing w:line="240" w:lineRule="auto"/>
        <w:ind w:left="180"/>
        <w:rPr>
          <w:rFonts w:eastAsia="Times New Roman" w:cs="Times New Roman"/>
          <w:color w:val="auto"/>
          <w:szCs w:val="24"/>
          <w:lang w:val="es-CO"/>
        </w:rPr>
      </w:pPr>
      <w:r w:rsidRPr="005849DC">
        <w:rPr>
          <w:rFonts w:eastAsia="Times New Roman" w:cs="Times New Roman"/>
          <w:color w:val="auto"/>
          <w:szCs w:val="24"/>
          <w:lang w:val="es-CO"/>
        </w:rPr>
        <w:lastRenderedPageBreak/>
        <w:t> </w:t>
      </w:r>
    </w:p>
    <w:p w:rsidR="00DC1F59" w:rsidRPr="005849DC" w:rsidRDefault="00DC1F59" w:rsidP="00DC1F59">
      <w:pPr>
        <w:spacing w:line="240" w:lineRule="auto"/>
        <w:ind w:left="180"/>
        <w:rPr>
          <w:rFonts w:eastAsia="Times New Roman" w:cs="Times New Roman"/>
          <w:color w:val="auto"/>
          <w:szCs w:val="24"/>
          <w:lang w:val="es-CO"/>
        </w:rPr>
      </w:pPr>
      <w:r w:rsidRPr="005849DC">
        <w:rPr>
          <w:rFonts w:eastAsia="Times New Roman" w:cs="Times New Roman"/>
          <w:i/>
          <w:iCs/>
          <w:color w:val="auto"/>
          <w:szCs w:val="24"/>
          <w:lang w:val="es-CO"/>
        </w:rPr>
        <w:t>“…</w:t>
      </w:r>
    </w:p>
    <w:p w:rsidR="00DC1F59" w:rsidRPr="005849DC" w:rsidRDefault="00DC1F59" w:rsidP="00DC1F59">
      <w:pPr>
        <w:spacing w:line="240" w:lineRule="auto"/>
        <w:ind w:left="180"/>
        <w:rPr>
          <w:rFonts w:eastAsia="Times New Roman" w:cs="Times New Roman"/>
          <w:color w:val="auto"/>
          <w:szCs w:val="24"/>
          <w:lang w:val="es-CO"/>
        </w:rPr>
      </w:pPr>
      <w:r w:rsidRPr="005849DC">
        <w:rPr>
          <w:rFonts w:eastAsia="Times New Roman" w:cs="Times New Roman"/>
          <w:i/>
          <w:iCs/>
          <w:color w:val="auto"/>
          <w:szCs w:val="24"/>
          <w:lang w:val="es-CO"/>
        </w:rPr>
        <w:t>De acuerdo con lo considerado por la Organización para la Cooperación y Desarrollo Económico, OCDE, la doble imposición se presenta:</w:t>
      </w:r>
    </w:p>
    <w:p w:rsidR="00DC1F59" w:rsidRPr="005849DC" w:rsidRDefault="00DC1F59" w:rsidP="00DC1F59">
      <w:pPr>
        <w:spacing w:line="240" w:lineRule="auto"/>
        <w:ind w:left="180"/>
        <w:rPr>
          <w:rFonts w:eastAsia="Times New Roman" w:cs="Times New Roman"/>
          <w:color w:val="auto"/>
          <w:szCs w:val="24"/>
          <w:lang w:val="es-CO"/>
        </w:rPr>
      </w:pPr>
      <w:r w:rsidRPr="005849DC">
        <w:rPr>
          <w:rFonts w:eastAsia="Times New Roman" w:cs="Times New Roman"/>
          <w:i/>
          <w:iCs/>
          <w:color w:val="auto"/>
          <w:szCs w:val="24"/>
          <w:lang w:val="es-CO"/>
        </w:rPr>
        <w:t> </w:t>
      </w:r>
    </w:p>
    <w:p w:rsidR="00DC1F59" w:rsidRPr="005849DC" w:rsidRDefault="00DC1F59" w:rsidP="00DC1F59">
      <w:pPr>
        <w:spacing w:line="240" w:lineRule="auto"/>
        <w:ind w:left="180"/>
        <w:rPr>
          <w:rFonts w:eastAsia="Times New Roman" w:cs="Times New Roman"/>
          <w:color w:val="auto"/>
          <w:szCs w:val="24"/>
          <w:lang w:val="es-CO"/>
        </w:rPr>
      </w:pPr>
      <w:r w:rsidRPr="005849DC">
        <w:rPr>
          <w:rFonts w:eastAsia="Times New Roman" w:cs="Times New Roman"/>
          <w:i/>
          <w:iCs/>
          <w:color w:val="auto"/>
          <w:szCs w:val="24"/>
          <w:lang w:val="es-CO"/>
        </w:rPr>
        <w:t>… como resultado de la aplicación de impuestos similares en dos o más Estados a un mismo contribuyente, respecto de la misma materia imponible y por el mismo período de tiempo.” Identidad de hecho (ingreso realizado), de sujeto (el mismo contribuyente) y de impuesto (renta).</w:t>
      </w:r>
    </w:p>
    <w:p w:rsidR="00DC1F59" w:rsidRPr="005849DC" w:rsidRDefault="00DC1F59" w:rsidP="00DC1F59">
      <w:pPr>
        <w:spacing w:line="240" w:lineRule="auto"/>
        <w:ind w:left="180"/>
        <w:rPr>
          <w:rFonts w:eastAsia="Times New Roman" w:cs="Times New Roman"/>
          <w:color w:val="auto"/>
          <w:szCs w:val="24"/>
          <w:lang w:val="es-CO"/>
        </w:rPr>
      </w:pPr>
      <w:r w:rsidRPr="005849DC">
        <w:rPr>
          <w:rFonts w:eastAsia="Times New Roman" w:cs="Times New Roman"/>
          <w:i/>
          <w:iCs/>
          <w:color w:val="auto"/>
          <w:szCs w:val="24"/>
          <w:lang w:val="es-CO"/>
        </w:rPr>
        <w:t> </w:t>
      </w:r>
    </w:p>
    <w:p w:rsidR="00DC1F59" w:rsidRPr="005849DC" w:rsidRDefault="00DC1F59" w:rsidP="00DC1F59">
      <w:pPr>
        <w:spacing w:line="240" w:lineRule="auto"/>
        <w:ind w:left="180"/>
        <w:rPr>
          <w:rFonts w:eastAsia="Times New Roman" w:cs="Times New Roman"/>
          <w:color w:val="auto"/>
          <w:szCs w:val="24"/>
          <w:lang w:val="es-CO"/>
        </w:rPr>
      </w:pPr>
      <w:r w:rsidRPr="005849DC">
        <w:rPr>
          <w:rFonts w:eastAsia="Times New Roman" w:cs="Times New Roman"/>
          <w:i/>
          <w:iCs/>
          <w:color w:val="auto"/>
          <w:szCs w:val="24"/>
          <w:lang w:val="es-CO"/>
        </w:rPr>
        <w:t>Entonces con los Convenios, “Al adoptar el método de atribución de competencias exclusivas, se impide que, frente a la ley, llegue a formarse un concurso real de normas, pues su ámbito espacial de incidencia queda definitivamente circunscrito por estas reglas especiales de conflictos, en términos de excluir el concurso. “Xavier, Alberto. Derecho Tributario Internacional. Universidad Astral 2005. Argentina”</w:t>
      </w:r>
    </w:p>
    <w:p w:rsidR="00DC1F59" w:rsidRPr="005849DC" w:rsidRDefault="00DC1F59" w:rsidP="00DC1F59">
      <w:pPr>
        <w:spacing w:line="240" w:lineRule="auto"/>
        <w:ind w:left="180"/>
        <w:rPr>
          <w:rFonts w:eastAsia="Times New Roman" w:cs="Times New Roman"/>
          <w:color w:val="auto"/>
          <w:szCs w:val="24"/>
          <w:lang w:val="es-CO"/>
        </w:rPr>
      </w:pPr>
      <w:r w:rsidRPr="005849DC">
        <w:rPr>
          <w:rFonts w:eastAsia="Times New Roman" w:cs="Times New Roman"/>
          <w:i/>
          <w:iCs/>
          <w:color w:val="auto"/>
          <w:szCs w:val="24"/>
          <w:lang w:val="es-CO"/>
        </w:rPr>
        <w:t> </w:t>
      </w:r>
    </w:p>
    <w:p w:rsidR="00DC1F59" w:rsidRPr="005849DC" w:rsidRDefault="00DC1F59" w:rsidP="00DC1F59">
      <w:pPr>
        <w:spacing w:line="240" w:lineRule="auto"/>
        <w:ind w:left="180"/>
        <w:rPr>
          <w:rFonts w:eastAsia="Times New Roman" w:cs="Times New Roman"/>
          <w:color w:val="auto"/>
          <w:szCs w:val="24"/>
          <w:lang w:val="es-CO"/>
        </w:rPr>
      </w:pPr>
      <w:r w:rsidRPr="005849DC">
        <w:rPr>
          <w:rFonts w:eastAsia="Times New Roman" w:cs="Times New Roman"/>
          <w:i/>
          <w:iCs/>
          <w:color w:val="auto"/>
          <w:szCs w:val="24"/>
          <w:lang w:val="es-CO"/>
        </w:rPr>
        <w:t xml:space="preserve">Es decir, que la doble tributación involucra un conflicto de normas, y puede hablarse de este conflicto cuando se presentan consecuencias jurídicas que deben ser excluidas recíprocamente por lo que sólo una de ellas puede ser aplicada, una de ella excluye la aplicación de la otra cuando ambas concurren sobre la misma situación concreta. “.. en la doble tributación se produce la acumulación de las consecuencias jurídicas de las dos normas es decir el concurso real acumulativo y es la atenuación o eliminación de ese cúmulo de pretensiones y consecuencias lo que constituye el objeto de las medidas tendientes a evitar la doble tributación.” </w:t>
      </w:r>
      <w:proofErr w:type="spellStart"/>
      <w:r w:rsidRPr="005849DC">
        <w:rPr>
          <w:rFonts w:eastAsia="Times New Roman" w:cs="Times New Roman"/>
          <w:i/>
          <w:iCs/>
          <w:color w:val="auto"/>
          <w:szCs w:val="24"/>
          <w:lang w:val="es-CO"/>
        </w:rPr>
        <w:t>op</w:t>
      </w:r>
      <w:proofErr w:type="spellEnd"/>
      <w:r w:rsidRPr="005849DC">
        <w:rPr>
          <w:rFonts w:eastAsia="Times New Roman" w:cs="Times New Roman"/>
          <w:i/>
          <w:iCs/>
          <w:color w:val="auto"/>
          <w:szCs w:val="24"/>
          <w:lang w:val="es-CO"/>
        </w:rPr>
        <w:t xml:space="preserve">. </w:t>
      </w:r>
      <w:proofErr w:type="spellStart"/>
      <w:r w:rsidRPr="005849DC">
        <w:rPr>
          <w:rFonts w:eastAsia="Times New Roman" w:cs="Times New Roman"/>
          <w:i/>
          <w:iCs/>
          <w:color w:val="auto"/>
          <w:szCs w:val="24"/>
          <w:lang w:val="es-CO"/>
        </w:rPr>
        <w:t>cit</w:t>
      </w:r>
      <w:proofErr w:type="spellEnd"/>
    </w:p>
    <w:p w:rsidR="00DC1F59" w:rsidRPr="005849DC" w:rsidRDefault="00DC1F59" w:rsidP="00DC1F59">
      <w:pPr>
        <w:spacing w:line="240" w:lineRule="auto"/>
        <w:ind w:left="180"/>
        <w:rPr>
          <w:rFonts w:eastAsia="Times New Roman" w:cs="Times New Roman"/>
          <w:color w:val="auto"/>
          <w:szCs w:val="24"/>
          <w:lang w:val="es-CO"/>
        </w:rPr>
      </w:pPr>
      <w:r w:rsidRPr="005849DC">
        <w:rPr>
          <w:rFonts w:eastAsia="Times New Roman" w:cs="Times New Roman"/>
          <w:i/>
          <w:iCs/>
          <w:color w:val="auto"/>
          <w:szCs w:val="24"/>
          <w:lang w:val="es-CO"/>
        </w:rPr>
        <w:t> </w:t>
      </w:r>
    </w:p>
    <w:p w:rsidR="00DC1F59" w:rsidRPr="005849DC" w:rsidRDefault="00DC1F59" w:rsidP="00DC1F59">
      <w:pPr>
        <w:spacing w:line="240" w:lineRule="auto"/>
        <w:ind w:left="180"/>
        <w:rPr>
          <w:rFonts w:eastAsia="Times New Roman" w:cs="Times New Roman"/>
          <w:color w:val="auto"/>
          <w:szCs w:val="24"/>
          <w:lang w:val="es-CO"/>
        </w:rPr>
      </w:pPr>
      <w:r w:rsidRPr="005849DC">
        <w:rPr>
          <w:rFonts w:eastAsia="Times New Roman" w:cs="Times New Roman"/>
          <w:i/>
          <w:iCs/>
          <w:color w:val="auto"/>
          <w:szCs w:val="24"/>
          <w:lang w:val="es-CO"/>
        </w:rPr>
        <w:t>Ahora bien, el objeto primordial de los Convenios para Evitar la Doble Imposición (CDI) es eliminar la Doble imposición jurídica; que tiene lugar cuando un solo sujeto pasivo soporta el gravamen múltiple por parte de diferentes Estados, en palabras de FARRÉ ESPAÑOL, “la doble imposición jurídica se produce cuando una misma renta perteneciente al mismo contribuyente es objeto de imposición en dos o más Estados”.</w:t>
      </w:r>
    </w:p>
    <w:p w:rsidR="00DC1F59" w:rsidRPr="005849DC" w:rsidRDefault="00DC1F59" w:rsidP="00DC1F59">
      <w:pPr>
        <w:spacing w:line="240" w:lineRule="auto"/>
        <w:ind w:left="180"/>
        <w:rPr>
          <w:rFonts w:eastAsia="Times New Roman" w:cs="Times New Roman"/>
          <w:color w:val="auto"/>
          <w:szCs w:val="24"/>
          <w:lang w:val="es-CO"/>
        </w:rPr>
      </w:pPr>
      <w:r w:rsidRPr="005849DC">
        <w:rPr>
          <w:rFonts w:eastAsia="Times New Roman" w:cs="Times New Roman"/>
          <w:i/>
          <w:iCs/>
          <w:color w:val="auto"/>
          <w:szCs w:val="24"/>
          <w:lang w:val="es-CO"/>
        </w:rPr>
        <w:t>…</w:t>
      </w:r>
    </w:p>
    <w:p w:rsidR="00DC1F59" w:rsidRPr="005849DC" w:rsidRDefault="00DC1F59" w:rsidP="00DC1F59">
      <w:pPr>
        <w:spacing w:line="240" w:lineRule="auto"/>
        <w:ind w:left="180"/>
        <w:rPr>
          <w:rFonts w:eastAsia="Times New Roman" w:cs="Times New Roman"/>
          <w:color w:val="auto"/>
          <w:szCs w:val="24"/>
          <w:lang w:val="es-CO"/>
        </w:rPr>
      </w:pPr>
      <w:r w:rsidRPr="005849DC">
        <w:rPr>
          <w:rFonts w:eastAsia="Times New Roman" w:cs="Times New Roman"/>
          <w:i/>
          <w:iCs/>
          <w:color w:val="auto"/>
          <w:szCs w:val="24"/>
          <w:lang w:val="es-CO"/>
        </w:rPr>
        <w:t>Para lograr la finalidad antes descrita, los CDI delimitan la potestad tributaria de los Estados contratantes, es decir delimitan por vía convencional pretensiones tributarias de los Estados …”</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 </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Con la consideración anterior frente a la inquietud planteada por el consultante que estima que el haberse gravado una renta generada por la posesión de un inmueble en un Estado, en este caso Suiza, no permite que el otro Estado –Colombia- tenga en cuenta ese inmueble para efectos tributarios en este país, es preciso aclarar que en relación con los inmuebles el CDI –Colombia-Suiza incorpora dos cláusulas que si bien se relacionan son diferentes.</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 </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Así, para el caso de las rentas de bienes inmuebles consagra el artículo 6:</w:t>
      </w:r>
    </w:p>
    <w:p w:rsidR="00DC1F59" w:rsidRPr="005849DC" w:rsidRDefault="00DC1F59" w:rsidP="00DC1F59">
      <w:pPr>
        <w:spacing w:line="240" w:lineRule="auto"/>
        <w:ind w:left="180"/>
        <w:jc w:val="center"/>
        <w:rPr>
          <w:rFonts w:eastAsia="Times New Roman" w:cs="Times New Roman"/>
          <w:color w:val="auto"/>
          <w:szCs w:val="24"/>
          <w:lang w:val="es-CO"/>
        </w:rPr>
      </w:pPr>
      <w:r w:rsidRPr="005849DC">
        <w:rPr>
          <w:rFonts w:eastAsia="Times New Roman" w:cs="Times New Roman"/>
          <w:b/>
          <w:bCs/>
          <w:color w:val="auto"/>
          <w:szCs w:val="24"/>
          <w:lang w:val="es-CO"/>
        </w:rPr>
        <w:t> </w:t>
      </w:r>
    </w:p>
    <w:p w:rsidR="00DC1F59" w:rsidRPr="005849DC" w:rsidRDefault="00DC1F59" w:rsidP="00DC1F59">
      <w:pPr>
        <w:spacing w:line="240" w:lineRule="auto"/>
        <w:ind w:left="180"/>
        <w:jc w:val="center"/>
        <w:rPr>
          <w:rFonts w:eastAsia="Times New Roman" w:cs="Times New Roman"/>
          <w:color w:val="auto"/>
          <w:szCs w:val="24"/>
          <w:lang w:val="es-CO"/>
        </w:rPr>
      </w:pPr>
      <w:r w:rsidRPr="005849DC">
        <w:rPr>
          <w:rFonts w:eastAsia="Times New Roman" w:cs="Times New Roman"/>
          <w:b/>
          <w:bCs/>
          <w:color w:val="auto"/>
          <w:szCs w:val="24"/>
          <w:lang w:val="es-CO"/>
        </w:rPr>
        <w:t>“ARTÍCULO 6</w:t>
      </w:r>
    </w:p>
    <w:p w:rsidR="00DC1F59" w:rsidRPr="005849DC" w:rsidRDefault="00DC1F59" w:rsidP="00DC1F59">
      <w:pPr>
        <w:spacing w:line="240" w:lineRule="auto"/>
        <w:ind w:left="180"/>
        <w:jc w:val="center"/>
        <w:rPr>
          <w:rFonts w:eastAsia="Times New Roman" w:cs="Times New Roman"/>
          <w:color w:val="auto"/>
          <w:szCs w:val="24"/>
          <w:lang w:val="es-CO"/>
        </w:rPr>
      </w:pPr>
      <w:r w:rsidRPr="005849DC">
        <w:rPr>
          <w:rFonts w:eastAsia="Times New Roman" w:cs="Times New Roman"/>
          <w:b/>
          <w:bCs/>
          <w:color w:val="auto"/>
          <w:szCs w:val="24"/>
          <w:lang w:val="es-CO"/>
        </w:rPr>
        <w:t>RENTAS DE BIENES INMUEBLES</w:t>
      </w:r>
    </w:p>
    <w:p w:rsidR="00DC1F59" w:rsidRPr="005849DC" w:rsidRDefault="00DC1F59" w:rsidP="00DC1F59">
      <w:pPr>
        <w:spacing w:line="240" w:lineRule="auto"/>
        <w:ind w:left="180"/>
        <w:rPr>
          <w:rFonts w:eastAsia="Times New Roman" w:cs="Times New Roman"/>
          <w:color w:val="auto"/>
          <w:szCs w:val="24"/>
          <w:lang w:val="es-CO"/>
        </w:rPr>
      </w:pPr>
      <w:r w:rsidRPr="005849DC">
        <w:rPr>
          <w:rFonts w:eastAsia="Times New Roman" w:cs="Times New Roman"/>
          <w:color w:val="auto"/>
          <w:szCs w:val="24"/>
          <w:lang w:val="es-CO"/>
        </w:rPr>
        <w:t> </w:t>
      </w:r>
    </w:p>
    <w:p w:rsidR="00DC1F59" w:rsidRDefault="00DC1F59" w:rsidP="00DC1F59">
      <w:pPr>
        <w:spacing w:line="240" w:lineRule="auto"/>
        <w:ind w:left="180"/>
        <w:rPr>
          <w:rFonts w:eastAsia="Times New Roman" w:cs="Times New Roman"/>
          <w:color w:val="auto"/>
          <w:szCs w:val="24"/>
          <w:lang w:val="es-CO"/>
        </w:rPr>
      </w:pPr>
      <w:r w:rsidRPr="005849DC">
        <w:rPr>
          <w:rFonts w:eastAsia="Times New Roman" w:cs="Times New Roman"/>
          <w:color w:val="auto"/>
          <w:szCs w:val="24"/>
          <w:lang w:val="es-CO"/>
        </w:rPr>
        <w:t>1. Las rentas que un residente de un Estado contratante obtenga de bienes inmuebles (incluidas las rentas de explotaciones agrícolas o forestales) situados en el otro Estado contratante pueden someterse a imposición en ese otro Estado.</w:t>
      </w:r>
    </w:p>
    <w:p w:rsidR="00A67F62" w:rsidRPr="005849DC" w:rsidRDefault="00A67F62" w:rsidP="00DC1F59">
      <w:pPr>
        <w:spacing w:line="240" w:lineRule="auto"/>
        <w:ind w:left="180"/>
        <w:rPr>
          <w:rFonts w:eastAsia="Times New Roman" w:cs="Times New Roman"/>
          <w:color w:val="auto"/>
          <w:szCs w:val="24"/>
          <w:lang w:val="es-CO"/>
        </w:rPr>
      </w:pPr>
    </w:p>
    <w:p w:rsidR="00DC1F59" w:rsidRDefault="00DC1F59" w:rsidP="00DC1F59">
      <w:pPr>
        <w:spacing w:line="240" w:lineRule="auto"/>
        <w:ind w:left="180"/>
        <w:rPr>
          <w:rFonts w:eastAsia="Times New Roman" w:cs="Times New Roman"/>
          <w:color w:val="auto"/>
          <w:szCs w:val="24"/>
          <w:lang w:val="es-CO"/>
        </w:rPr>
      </w:pPr>
      <w:r w:rsidRPr="005849DC">
        <w:rPr>
          <w:rFonts w:eastAsia="Times New Roman" w:cs="Times New Roman"/>
          <w:color w:val="auto"/>
          <w:szCs w:val="24"/>
          <w:lang w:val="es-CO"/>
        </w:rPr>
        <w:t xml:space="preserve">2. La expresión “bienes inmuebles” tendrá el significado que le atribuya el derecho del Estado contratante en que los bienes estén situados. Dicha expresión comprende en todo caso los bienes accesorios a los bienes inmuebles, el ganado y el equipo utilizado en las explotaciones agrícolas y forestales, los derechos a los que sean aplicables las disposiciones de derecho privado relativas a los bienes raíces, el usufructo de bienes inmuebles y el derecho a percibir pagos fijos o variables en contraprestación por la explotación, o la concesión de la explotación, de yacimientos minerales, fuentes y otros </w:t>
      </w:r>
      <w:r w:rsidRPr="005849DC">
        <w:rPr>
          <w:rFonts w:eastAsia="Times New Roman" w:cs="Times New Roman"/>
          <w:color w:val="auto"/>
          <w:szCs w:val="24"/>
          <w:lang w:val="es-CO"/>
        </w:rPr>
        <w:lastRenderedPageBreak/>
        <w:t>recursos naturales. Los buques y aeronaves no tendrán la consideración de bienes inmuebles.</w:t>
      </w:r>
    </w:p>
    <w:p w:rsidR="00A67F62" w:rsidRPr="005849DC" w:rsidRDefault="00A67F62" w:rsidP="00DC1F59">
      <w:pPr>
        <w:spacing w:line="240" w:lineRule="auto"/>
        <w:ind w:left="180"/>
        <w:rPr>
          <w:rFonts w:eastAsia="Times New Roman" w:cs="Times New Roman"/>
          <w:color w:val="auto"/>
          <w:szCs w:val="24"/>
          <w:lang w:val="es-CO"/>
        </w:rPr>
      </w:pPr>
    </w:p>
    <w:p w:rsidR="00DC1F59" w:rsidRDefault="00DC1F59" w:rsidP="00DC1F59">
      <w:pPr>
        <w:spacing w:line="240" w:lineRule="auto"/>
        <w:ind w:left="180"/>
        <w:rPr>
          <w:rFonts w:eastAsia="Times New Roman" w:cs="Times New Roman"/>
          <w:color w:val="auto"/>
          <w:szCs w:val="24"/>
          <w:lang w:val="es-CO"/>
        </w:rPr>
      </w:pPr>
      <w:r w:rsidRPr="005849DC">
        <w:rPr>
          <w:rFonts w:eastAsia="Times New Roman" w:cs="Times New Roman"/>
          <w:color w:val="auto"/>
          <w:szCs w:val="24"/>
          <w:lang w:val="es-CO"/>
        </w:rPr>
        <w:t>3. Las disposiciones del apartado 1 son aplicables a los rendimientos derivados de la utilización directa, el arrendamiento o aparcería, así como de cualquier otra forma de explotación de los bienes inmuebles.</w:t>
      </w:r>
    </w:p>
    <w:p w:rsidR="00A67F62" w:rsidRPr="005849DC" w:rsidRDefault="00A67F62" w:rsidP="00DC1F59">
      <w:pPr>
        <w:spacing w:line="240" w:lineRule="auto"/>
        <w:ind w:left="180"/>
        <w:rPr>
          <w:rFonts w:eastAsia="Times New Roman" w:cs="Times New Roman"/>
          <w:color w:val="auto"/>
          <w:szCs w:val="24"/>
          <w:lang w:val="es-CO"/>
        </w:rPr>
      </w:pPr>
    </w:p>
    <w:p w:rsidR="00DC1F59" w:rsidRPr="005849DC" w:rsidRDefault="00DC1F59" w:rsidP="00DC1F59">
      <w:pPr>
        <w:spacing w:line="240" w:lineRule="auto"/>
        <w:ind w:left="180"/>
        <w:rPr>
          <w:rFonts w:eastAsia="Times New Roman" w:cs="Times New Roman"/>
          <w:color w:val="auto"/>
          <w:szCs w:val="24"/>
          <w:lang w:val="es-CO"/>
        </w:rPr>
      </w:pPr>
      <w:r w:rsidRPr="005849DC">
        <w:rPr>
          <w:rFonts w:eastAsia="Times New Roman" w:cs="Times New Roman"/>
          <w:color w:val="auto"/>
          <w:szCs w:val="24"/>
          <w:lang w:val="es-CO"/>
        </w:rPr>
        <w:t>4. Las disposiciones de los apartados 1 y 3 se aplican igualmente a las rentas derivadas de los bienes inmuebles de una empresa.”</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 </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Del texto de la disposición y concordante con lo antes expresado, se tiene que respecto de estas rentas se ha pactado la potestad tributaria de manera compartida entre el Estado de residencia y el Estado de la fuente.</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 </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Es decir que las rentas que –para el caso consultado- un residente de Colombia obtenga de bienes inmuebles situados en Suiza pueden someterse también a imposición en Suiza.</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 </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El vocablo “pueden” está dado para permitir que esta facultad que en principio sería del Estado de la residencia sea compartida, si fuese de manera exclusiva en uno u otro Estado así se expresaría, como en el caso y para citar un ejemplo, de las rentas de pensiones del artículo 17 en donde la tributación es exclusiva del Estado de residencia:</w:t>
      </w:r>
    </w:p>
    <w:p w:rsidR="00DC1F59" w:rsidRPr="005849DC" w:rsidRDefault="00DC1F59" w:rsidP="00DC1F59">
      <w:pPr>
        <w:spacing w:line="240" w:lineRule="auto"/>
        <w:ind w:left="180"/>
        <w:jc w:val="center"/>
        <w:rPr>
          <w:rFonts w:eastAsia="Times New Roman" w:cs="Times New Roman"/>
          <w:color w:val="auto"/>
          <w:szCs w:val="24"/>
          <w:lang w:val="es-CO"/>
        </w:rPr>
      </w:pPr>
      <w:r w:rsidRPr="005849DC">
        <w:rPr>
          <w:rFonts w:eastAsia="Times New Roman" w:cs="Times New Roman"/>
          <w:b/>
          <w:bCs/>
          <w:color w:val="auto"/>
          <w:szCs w:val="24"/>
          <w:lang w:val="es-CO"/>
        </w:rPr>
        <w:t> </w:t>
      </w:r>
    </w:p>
    <w:p w:rsidR="00DC1F59" w:rsidRPr="005849DC" w:rsidRDefault="00DC1F59" w:rsidP="00DC1F59">
      <w:pPr>
        <w:spacing w:line="240" w:lineRule="auto"/>
        <w:ind w:left="180"/>
        <w:jc w:val="center"/>
        <w:rPr>
          <w:rFonts w:eastAsia="Times New Roman" w:cs="Times New Roman"/>
          <w:color w:val="auto"/>
          <w:szCs w:val="24"/>
          <w:lang w:val="es-CO"/>
        </w:rPr>
      </w:pPr>
      <w:r w:rsidRPr="005849DC">
        <w:rPr>
          <w:rFonts w:eastAsia="Times New Roman" w:cs="Times New Roman"/>
          <w:b/>
          <w:bCs/>
          <w:color w:val="auto"/>
          <w:szCs w:val="24"/>
          <w:lang w:val="es-CO"/>
        </w:rPr>
        <w:t>“ARTÍCULO 17</w:t>
      </w:r>
    </w:p>
    <w:p w:rsidR="00DC1F59" w:rsidRPr="005849DC" w:rsidRDefault="00DC1F59" w:rsidP="00DC1F59">
      <w:pPr>
        <w:spacing w:line="240" w:lineRule="auto"/>
        <w:ind w:left="180"/>
        <w:jc w:val="center"/>
        <w:rPr>
          <w:rFonts w:eastAsia="Times New Roman" w:cs="Times New Roman"/>
          <w:color w:val="auto"/>
          <w:szCs w:val="24"/>
          <w:lang w:val="es-CO"/>
        </w:rPr>
      </w:pPr>
      <w:r w:rsidRPr="005849DC">
        <w:rPr>
          <w:rFonts w:eastAsia="Times New Roman" w:cs="Times New Roman"/>
          <w:b/>
          <w:bCs/>
          <w:color w:val="auto"/>
          <w:szCs w:val="24"/>
          <w:lang w:val="es-CO"/>
        </w:rPr>
        <w:t>PENSIONES</w:t>
      </w:r>
    </w:p>
    <w:p w:rsidR="00DC1F59" w:rsidRPr="005849DC" w:rsidRDefault="00DC1F59" w:rsidP="00DC1F59">
      <w:pPr>
        <w:spacing w:line="240" w:lineRule="auto"/>
        <w:ind w:left="180"/>
        <w:rPr>
          <w:rFonts w:eastAsia="Times New Roman" w:cs="Times New Roman"/>
          <w:color w:val="auto"/>
          <w:szCs w:val="24"/>
          <w:lang w:val="es-CO"/>
        </w:rPr>
      </w:pPr>
      <w:r w:rsidRPr="005849DC">
        <w:rPr>
          <w:rFonts w:eastAsia="Times New Roman" w:cs="Times New Roman"/>
          <w:color w:val="auto"/>
          <w:szCs w:val="24"/>
          <w:lang w:val="es-CO"/>
        </w:rPr>
        <w:t> </w:t>
      </w:r>
    </w:p>
    <w:p w:rsidR="00DC1F59" w:rsidRPr="005849DC" w:rsidRDefault="00DC1F59" w:rsidP="00DC1F59">
      <w:pPr>
        <w:spacing w:line="240" w:lineRule="auto"/>
        <w:ind w:left="180"/>
        <w:rPr>
          <w:rFonts w:eastAsia="Times New Roman" w:cs="Times New Roman"/>
          <w:color w:val="auto"/>
          <w:szCs w:val="24"/>
          <w:lang w:val="es-CO"/>
        </w:rPr>
      </w:pPr>
      <w:r w:rsidRPr="005849DC">
        <w:rPr>
          <w:rFonts w:eastAsia="Times New Roman" w:cs="Times New Roman"/>
          <w:color w:val="auto"/>
          <w:szCs w:val="24"/>
          <w:lang w:val="es-CO"/>
        </w:rPr>
        <w:t>Sin perjuicio de lo dispuesto en el apartado 2 del artículo 18, las pensiones y remuneraciones análogas pagadas </w:t>
      </w:r>
      <w:r w:rsidRPr="005849DC">
        <w:rPr>
          <w:rFonts w:eastAsia="Times New Roman" w:cs="Times New Roman"/>
          <w:b/>
          <w:bCs/>
          <w:color w:val="auto"/>
          <w:szCs w:val="24"/>
          <w:lang w:val="es-CO"/>
        </w:rPr>
        <w:t>a un residente de un Estado </w:t>
      </w:r>
      <w:r w:rsidRPr="005849DC">
        <w:rPr>
          <w:rFonts w:eastAsia="Times New Roman" w:cs="Times New Roman"/>
          <w:color w:val="auto"/>
          <w:szCs w:val="24"/>
          <w:lang w:val="es-CO"/>
        </w:rPr>
        <w:t>contratante por razón de un ejemplo anterior </w:t>
      </w:r>
      <w:r w:rsidRPr="005849DC">
        <w:rPr>
          <w:rFonts w:eastAsia="Times New Roman" w:cs="Times New Roman"/>
          <w:b/>
          <w:bCs/>
          <w:color w:val="auto"/>
          <w:szCs w:val="24"/>
          <w:lang w:val="es-CO"/>
        </w:rPr>
        <w:t>sólo </w:t>
      </w:r>
      <w:r w:rsidRPr="005849DC">
        <w:rPr>
          <w:rFonts w:eastAsia="Times New Roman" w:cs="Times New Roman"/>
          <w:color w:val="auto"/>
          <w:szCs w:val="24"/>
          <w:lang w:val="es-CO"/>
        </w:rPr>
        <w:t>pueden someterse a imposición en ese Estado“ resaltado fuera de texto.</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 </w:t>
      </w:r>
    </w:p>
    <w:p w:rsidR="00DC1F59" w:rsidRPr="00A67F62" w:rsidRDefault="00DC1F59" w:rsidP="00DC1F59">
      <w:pPr>
        <w:spacing w:line="240" w:lineRule="auto"/>
        <w:rPr>
          <w:rFonts w:eastAsia="Times New Roman" w:cs="Times New Roman"/>
          <w:b/>
          <w:color w:val="auto"/>
          <w:szCs w:val="24"/>
          <w:lang w:val="es-CO"/>
        </w:rPr>
      </w:pPr>
      <w:r w:rsidRPr="00A67F62">
        <w:rPr>
          <w:rFonts w:eastAsia="Times New Roman" w:cs="Times New Roman"/>
          <w:b/>
          <w:color w:val="auto"/>
          <w:szCs w:val="24"/>
          <w:lang w:val="es-CO"/>
        </w:rPr>
        <w:t>En este contexto, las rentas obtenidas en razón de inmuebles pueden ser sometidas a imposición tanto en Colombia como en Suiza, recuérdese que según la legislación interna los residentes colombianos tributan sobre sus rentas de fuente mundial. </w:t>
      </w:r>
      <w:hyperlink r:id="rId6" w:tooltip="Estatuto Tributario CETA" w:history="1">
        <w:r w:rsidRPr="00A67F62">
          <w:rPr>
            <w:rFonts w:eastAsia="Times New Roman" w:cs="Times New Roman"/>
            <w:b/>
            <w:color w:val="auto"/>
            <w:szCs w:val="24"/>
            <w:u w:val="single"/>
            <w:lang w:val="es-CO"/>
          </w:rPr>
          <w:t>Artículo 9</w:t>
        </w:r>
      </w:hyperlink>
      <w:r w:rsidRPr="00A67F62">
        <w:rPr>
          <w:rFonts w:eastAsia="Times New Roman" w:cs="Times New Roman"/>
          <w:b/>
          <w:color w:val="auto"/>
          <w:szCs w:val="24"/>
          <w:lang w:val="es-CO"/>
        </w:rPr>
        <w:t> del Estatuto Tributario</w:t>
      </w:r>
    </w:p>
    <w:p w:rsidR="00DC1F59" w:rsidRPr="00A67F62" w:rsidRDefault="00DC1F59" w:rsidP="00DC1F59">
      <w:pPr>
        <w:spacing w:line="240" w:lineRule="auto"/>
        <w:rPr>
          <w:rFonts w:eastAsia="Times New Roman" w:cs="Times New Roman"/>
          <w:b/>
          <w:color w:val="auto"/>
          <w:szCs w:val="24"/>
          <w:lang w:val="es-CO"/>
        </w:rPr>
      </w:pPr>
      <w:r w:rsidRPr="00A67F62">
        <w:rPr>
          <w:rFonts w:eastAsia="Times New Roman" w:cs="Times New Roman"/>
          <w:b/>
          <w:color w:val="auto"/>
          <w:szCs w:val="24"/>
          <w:lang w:val="es-CO"/>
        </w:rPr>
        <w:t> </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De otra parte, el artículo 22 del CDI regula lo concerniente a la imposición del patrimonio.</w:t>
      </w:r>
    </w:p>
    <w:p w:rsidR="00DC1F59" w:rsidRPr="005849DC" w:rsidRDefault="00DC1F59" w:rsidP="00DC1F59">
      <w:pPr>
        <w:spacing w:line="240" w:lineRule="auto"/>
        <w:ind w:left="180"/>
        <w:jc w:val="center"/>
        <w:rPr>
          <w:rFonts w:eastAsia="Times New Roman" w:cs="Times New Roman"/>
          <w:color w:val="auto"/>
          <w:szCs w:val="24"/>
          <w:lang w:val="es-CO"/>
        </w:rPr>
      </w:pPr>
      <w:r w:rsidRPr="005849DC">
        <w:rPr>
          <w:rFonts w:eastAsia="Times New Roman" w:cs="Times New Roman"/>
          <w:b/>
          <w:bCs/>
          <w:color w:val="auto"/>
          <w:szCs w:val="24"/>
          <w:lang w:val="es-CO"/>
        </w:rPr>
        <w:t> </w:t>
      </w:r>
    </w:p>
    <w:p w:rsidR="00DC1F59" w:rsidRPr="005849DC" w:rsidRDefault="00DC1F59" w:rsidP="00DC1F59">
      <w:pPr>
        <w:spacing w:line="240" w:lineRule="auto"/>
        <w:ind w:left="180"/>
        <w:jc w:val="center"/>
        <w:rPr>
          <w:rFonts w:eastAsia="Times New Roman" w:cs="Times New Roman"/>
          <w:color w:val="auto"/>
          <w:szCs w:val="24"/>
          <w:lang w:val="es-CO"/>
        </w:rPr>
      </w:pPr>
      <w:r w:rsidRPr="005849DC">
        <w:rPr>
          <w:rFonts w:eastAsia="Times New Roman" w:cs="Times New Roman"/>
          <w:b/>
          <w:bCs/>
          <w:color w:val="auto"/>
          <w:szCs w:val="24"/>
          <w:lang w:val="es-CO"/>
        </w:rPr>
        <w:t>“ARTÍCULO 22</w:t>
      </w:r>
    </w:p>
    <w:p w:rsidR="00DC1F59" w:rsidRPr="005849DC" w:rsidRDefault="00DC1F59" w:rsidP="00DC1F59">
      <w:pPr>
        <w:spacing w:line="240" w:lineRule="auto"/>
        <w:ind w:left="180"/>
        <w:jc w:val="center"/>
        <w:rPr>
          <w:rFonts w:eastAsia="Times New Roman" w:cs="Times New Roman"/>
          <w:color w:val="auto"/>
          <w:szCs w:val="24"/>
          <w:lang w:val="es-CO"/>
        </w:rPr>
      </w:pPr>
      <w:r w:rsidRPr="005849DC">
        <w:rPr>
          <w:rFonts w:eastAsia="Times New Roman" w:cs="Times New Roman"/>
          <w:b/>
          <w:bCs/>
          <w:color w:val="auto"/>
          <w:szCs w:val="24"/>
          <w:lang w:val="es-CO"/>
        </w:rPr>
        <w:t>IMPUESTO AL PATRIMONIO</w:t>
      </w:r>
    </w:p>
    <w:p w:rsidR="00DC1F59" w:rsidRPr="005849DC" w:rsidRDefault="00DC1F59" w:rsidP="00DC1F59">
      <w:pPr>
        <w:spacing w:line="240" w:lineRule="auto"/>
        <w:ind w:left="180"/>
        <w:rPr>
          <w:rFonts w:eastAsia="Times New Roman" w:cs="Times New Roman"/>
          <w:color w:val="auto"/>
          <w:szCs w:val="24"/>
          <w:lang w:val="es-CO"/>
        </w:rPr>
      </w:pPr>
      <w:r w:rsidRPr="005849DC">
        <w:rPr>
          <w:rFonts w:eastAsia="Times New Roman" w:cs="Times New Roman"/>
          <w:color w:val="auto"/>
          <w:szCs w:val="24"/>
          <w:lang w:val="es-CO"/>
        </w:rPr>
        <w:t> </w:t>
      </w:r>
    </w:p>
    <w:p w:rsidR="00DC1F59" w:rsidRDefault="00DC1F59" w:rsidP="00DC1F59">
      <w:pPr>
        <w:spacing w:line="240" w:lineRule="auto"/>
        <w:ind w:left="180"/>
        <w:rPr>
          <w:rFonts w:eastAsia="Times New Roman" w:cs="Times New Roman"/>
          <w:color w:val="auto"/>
          <w:szCs w:val="24"/>
          <w:lang w:val="es-CO"/>
        </w:rPr>
      </w:pPr>
      <w:r w:rsidRPr="005849DC">
        <w:rPr>
          <w:rFonts w:eastAsia="Times New Roman" w:cs="Times New Roman"/>
          <w:color w:val="auto"/>
          <w:szCs w:val="24"/>
          <w:lang w:val="es-CO"/>
        </w:rPr>
        <w:t>1. El patrimonio constituido por bienes inmuebles en el sentido del artículo 6, que posea un residente de un Estado contratante y esté situado en el otro Estado contratante, puede someterse a imposición en ese otro Estado.</w:t>
      </w:r>
    </w:p>
    <w:p w:rsidR="00A67F62" w:rsidRPr="005849DC" w:rsidRDefault="00A67F62" w:rsidP="00DC1F59">
      <w:pPr>
        <w:spacing w:line="240" w:lineRule="auto"/>
        <w:ind w:left="180"/>
        <w:rPr>
          <w:rFonts w:eastAsia="Times New Roman" w:cs="Times New Roman"/>
          <w:color w:val="auto"/>
          <w:szCs w:val="24"/>
          <w:lang w:val="es-CO"/>
        </w:rPr>
      </w:pPr>
    </w:p>
    <w:p w:rsidR="00DC1F59" w:rsidRDefault="00DC1F59" w:rsidP="00DC1F59">
      <w:pPr>
        <w:spacing w:line="240" w:lineRule="auto"/>
        <w:ind w:left="180"/>
        <w:rPr>
          <w:rFonts w:eastAsia="Times New Roman" w:cs="Times New Roman"/>
          <w:color w:val="auto"/>
          <w:szCs w:val="24"/>
          <w:lang w:val="es-CO"/>
        </w:rPr>
      </w:pPr>
      <w:r w:rsidRPr="005849DC">
        <w:rPr>
          <w:rFonts w:eastAsia="Times New Roman" w:cs="Times New Roman"/>
          <w:color w:val="auto"/>
          <w:szCs w:val="24"/>
          <w:lang w:val="es-CO"/>
        </w:rPr>
        <w:t>2. El patrimonio constituido por bienes muebles que formen parte del activo de un establecimiento permanente que una empresa de un Estado contratante posea en el otro Estado contratante, puede someterse a imposición en ese otro estado contratante.</w:t>
      </w:r>
    </w:p>
    <w:p w:rsidR="00A67F62" w:rsidRPr="005849DC" w:rsidRDefault="00A67F62" w:rsidP="00DC1F59">
      <w:pPr>
        <w:spacing w:line="240" w:lineRule="auto"/>
        <w:ind w:left="180"/>
        <w:rPr>
          <w:rFonts w:eastAsia="Times New Roman" w:cs="Times New Roman"/>
          <w:color w:val="auto"/>
          <w:szCs w:val="24"/>
          <w:lang w:val="es-CO"/>
        </w:rPr>
      </w:pPr>
    </w:p>
    <w:p w:rsidR="00DC1F59" w:rsidRDefault="00DC1F59" w:rsidP="00DC1F59">
      <w:pPr>
        <w:spacing w:line="240" w:lineRule="auto"/>
        <w:ind w:left="180"/>
        <w:rPr>
          <w:rFonts w:eastAsia="Times New Roman" w:cs="Times New Roman"/>
          <w:color w:val="auto"/>
          <w:szCs w:val="24"/>
          <w:lang w:val="es-CO"/>
        </w:rPr>
      </w:pPr>
      <w:r w:rsidRPr="005849DC">
        <w:rPr>
          <w:rFonts w:eastAsia="Times New Roman" w:cs="Times New Roman"/>
          <w:color w:val="auto"/>
          <w:szCs w:val="24"/>
          <w:lang w:val="es-CO"/>
        </w:rPr>
        <w:t>3. El patrimonio constituido por buques o aeronaves explotados en tráfico internacional, así como por bienes muebles afectos a la explotación de tales buques y aeronaves, sólo puede someterse a imposición en el Estado contratante en que esté situada la sede de dirección efectiva de la empresa</w:t>
      </w:r>
      <w:r w:rsidR="00A67F62">
        <w:rPr>
          <w:rFonts w:eastAsia="Times New Roman" w:cs="Times New Roman"/>
          <w:color w:val="auto"/>
          <w:szCs w:val="24"/>
          <w:lang w:val="es-CO"/>
        </w:rPr>
        <w:t>.</w:t>
      </w:r>
    </w:p>
    <w:p w:rsidR="00A67F62" w:rsidRPr="005849DC" w:rsidRDefault="00A67F62" w:rsidP="00DC1F59">
      <w:pPr>
        <w:spacing w:line="240" w:lineRule="auto"/>
        <w:ind w:left="180"/>
        <w:rPr>
          <w:rFonts w:eastAsia="Times New Roman" w:cs="Times New Roman"/>
          <w:color w:val="auto"/>
          <w:szCs w:val="24"/>
          <w:lang w:val="es-CO"/>
        </w:rPr>
      </w:pPr>
    </w:p>
    <w:p w:rsidR="00DC1F59" w:rsidRPr="005849DC" w:rsidRDefault="00DC1F59" w:rsidP="00DC1F59">
      <w:pPr>
        <w:spacing w:line="240" w:lineRule="auto"/>
        <w:ind w:left="180"/>
        <w:rPr>
          <w:rFonts w:eastAsia="Times New Roman" w:cs="Times New Roman"/>
          <w:color w:val="auto"/>
          <w:szCs w:val="24"/>
          <w:lang w:val="es-CO"/>
        </w:rPr>
      </w:pPr>
      <w:r w:rsidRPr="005849DC">
        <w:rPr>
          <w:rFonts w:eastAsia="Times New Roman" w:cs="Times New Roman"/>
          <w:color w:val="auto"/>
          <w:szCs w:val="24"/>
          <w:lang w:val="es-CO"/>
        </w:rPr>
        <w:t>4. Todos los demás elementos patrimoniales de un residente de un Estado contratante sólo pueden someterse a imposición en ese Estado.”</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 </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lastRenderedPageBreak/>
        <w:t>En el marco de lo expuesto, obsérvese como frente a los bienes inmuebles a que hace referencia el artículo 6 y a los bienes muebles del establecimiento permanente según los numerales 1 y 2 de la disposición en cita, se pactó la potestad tributaria de manera compartida entre los dos Estados –Colombia y Suiza. Respecto de los bienes a que aluden los numerales 3 y 4, esta facultad impositiva radica solamente en el Estado de residencia, y/o dirección efectiva de la empresa según el caso.</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 </w:t>
      </w:r>
    </w:p>
    <w:p w:rsidR="00DC1F59" w:rsidRPr="00A67F62" w:rsidRDefault="00DC1F59" w:rsidP="00DC1F59">
      <w:pPr>
        <w:spacing w:line="240" w:lineRule="auto"/>
        <w:rPr>
          <w:rFonts w:eastAsia="Times New Roman" w:cs="Times New Roman"/>
          <w:b/>
          <w:color w:val="auto"/>
          <w:szCs w:val="24"/>
          <w:lang w:val="es-CO"/>
        </w:rPr>
      </w:pPr>
      <w:r w:rsidRPr="00A67F62">
        <w:rPr>
          <w:rFonts w:eastAsia="Times New Roman" w:cs="Times New Roman"/>
          <w:b/>
          <w:color w:val="auto"/>
          <w:szCs w:val="24"/>
          <w:lang w:val="es-CO"/>
        </w:rPr>
        <w:t>En consecuencia para concretar la respuesta:</w:t>
      </w:r>
    </w:p>
    <w:p w:rsidR="00DC1F59" w:rsidRPr="00A67F62" w:rsidRDefault="00DC1F59" w:rsidP="00DC1F59">
      <w:pPr>
        <w:spacing w:line="240" w:lineRule="auto"/>
        <w:rPr>
          <w:rFonts w:eastAsia="Times New Roman" w:cs="Times New Roman"/>
          <w:b/>
          <w:color w:val="auto"/>
          <w:szCs w:val="24"/>
          <w:lang w:val="es-CO"/>
        </w:rPr>
      </w:pPr>
      <w:r w:rsidRPr="00A67F62">
        <w:rPr>
          <w:rFonts w:eastAsia="Times New Roman" w:cs="Times New Roman"/>
          <w:b/>
          <w:color w:val="auto"/>
          <w:szCs w:val="24"/>
          <w:lang w:val="es-CO"/>
        </w:rPr>
        <w:t> </w:t>
      </w:r>
    </w:p>
    <w:p w:rsidR="00DC1F59" w:rsidRPr="00A67F62" w:rsidRDefault="00DC1F59" w:rsidP="00DC1F59">
      <w:pPr>
        <w:spacing w:line="240" w:lineRule="auto"/>
        <w:rPr>
          <w:rFonts w:eastAsia="Times New Roman" w:cs="Times New Roman"/>
          <w:b/>
          <w:color w:val="auto"/>
          <w:szCs w:val="24"/>
          <w:lang w:val="es-CO"/>
        </w:rPr>
      </w:pPr>
      <w:r w:rsidRPr="00A67F62">
        <w:rPr>
          <w:rFonts w:eastAsia="Times New Roman" w:cs="Times New Roman"/>
          <w:b/>
          <w:color w:val="auto"/>
          <w:szCs w:val="24"/>
          <w:lang w:val="es-CO"/>
        </w:rPr>
        <w:t>- Las rentas que un residente colombiano obtenga por los inmuebles que posea en Suiza conforme con el artículo 6 del CDI deberán ser incluidas y gravadas en la declaración del impuesto sobre la renta, que como residente en Colombia deba presentar, sin perjuicio de las obligaciones tributarias en Suiza.</w:t>
      </w:r>
    </w:p>
    <w:p w:rsidR="00A67F62" w:rsidRPr="00A67F62" w:rsidRDefault="00A67F62" w:rsidP="00DC1F59">
      <w:pPr>
        <w:spacing w:line="240" w:lineRule="auto"/>
        <w:rPr>
          <w:rFonts w:eastAsia="Times New Roman" w:cs="Times New Roman"/>
          <w:b/>
          <w:color w:val="auto"/>
          <w:szCs w:val="24"/>
          <w:lang w:val="es-CO"/>
        </w:rPr>
      </w:pPr>
    </w:p>
    <w:p w:rsidR="00DC1F59" w:rsidRPr="00A67F62" w:rsidRDefault="00DC1F59" w:rsidP="00DC1F59">
      <w:pPr>
        <w:spacing w:line="240" w:lineRule="auto"/>
        <w:rPr>
          <w:rFonts w:eastAsia="Times New Roman" w:cs="Times New Roman"/>
          <w:b/>
          <w:color w:val="auto"/>
          <w:szCs w:val="24"/>
          <w:lang w:val="es-CO"/>
        </w:rPr>
      </w:pPr>
      <w:r w:rsidRPr="00A67F62">
        <w:rPr>
          <w:rFonts w:eastAsia="Times New Roman" w:cs="Times New Roman"/>
          <w:b/>
          <w:color w:val="auto"/>
          <w:szCs w:val="24"/>
          <w:lang w:val="es-CO"/>
        </w:rPr>
        <w:t>- Los inmuebles que el residente colombiano posea en el otro estado contratante –Suiza también deberán ser incluidos en su declaración de renta pues forman parte de su patrimonio.</w:t>
      </w:r>
    </w:p>
    <w:p w:rsidR="00DC1F59" w:rsidRPr="00A67F62" w:rsidRDefault="00DC1F59" w:rsidP="00DC1F59">
      <w:pPr>
        <w:spacing w:line="240" w:lineRule="auto"/>
        <w:rPr>
          <w:rFonts w:eastAsia="Times New Roman" w:cs="Times New Roman"/>
          <w:b/>
          <w:color w:val="auto"/>
          <w:szCs w:val="24"/>
          <w:lang w:val="es-CO"/>
        </w:rPr>
      </w:pPr>
      <w:r w:rsidRPr="00A67F62">
        <w:rPr>
          <w:rFonts w:eastAsia="Times New Roman" w:cs="Times New Roman"/>
          <w:b/>
          <w:color w:val="auto"/>
          <w:szCs w:val="24"/>
          <w:lang w:val="es-CO"/>
        </w:rPr>
        <w:t> </w:t>
      </w:r>
    </w:p>
    <w:p w:rsidR="00DC1F59" w:rsidRPr="00A67F62" w:rsidRDefault="00DC1F59" w:rsidP="00DC1F59">
      <w:pPr>
        <w:spacing w:line="240" w:lineRule="auto"/>
        <w:rPr>
          <w:rFonts w:eastAsia="Times New Roman" w:cs="Times New Roman"/>
          <w:b/>
          <w:color w:val="auto"/>
          <w:szCs w:val="24"/>
          <w:lang w:val="es-CO"/>
        </w:rPr>
      </w:pPr>
      <w:r w:rsidRPr="00A67F62">
        <w:rPr>
          <w:rFonts w:eastAsia="Times New Roman" w:cs="Times New Roman"/>
          <w:b/>
          <w:color w:val="auto"/>
          <w:szCs w:val="24"/>
          <w:lang w:val="es-CO"/>
        </w:rPr>
        <w:t>De igual manera, como quiera que la base gravable, en el sistema de determinación de la renta líquida especial, como es la renta presuntiva, es el patrimonio líquido del último día del ejercicio gravable inmediatamente anterior, a efectos de determinar la renta presuntiva del respectivo año gravable necesariamente deberá considerarse el patrimonio líquido a 31 de diciembre del año anterior determinado conforme con las normas vigentes.</w:t>
      </w:r>
    </w:p>
    <w:p w:rsidR="00DC1F59" w:rsidRPr="00A67F62" w:rsidRDefault="00DC1F59" w:rsidP="00DC1F59">
      <w:pPr>
        <w:spacing w:line="240" w:lineRule="auto"/>
        <w:rPr>
          <w:rFonts w:eastAsia="Times New Roman" w:cs="Times New Roman"/>
          <w:b/>
          <w:color w:val="auto"/>
          <w:szCs w:val="24"/>
          <w:lang w:val="es-CO"/>
        </w:rPr>
      </w:pPr>
      <w:r w:rsidRPr="00A67F62">
        <w:rPr>
          <w:rFonts w:eastAsia="Times New Roman" w:cs="Times New Roman"/>
          <w:b/>
          <w:color w:val="auto"/>
          <w:szCs w:val="24"/>
          <w:lang w:val="es-CO"/>
        </w:rPr>
        <w:t> </w:t>
      </w:r>
    </w:p>
    <w:p w:rsidR="00DC1F59" w:rsidRPr="00A67F62" w:rsidRDefault="00DC1F59" w:rsidP="00DC1F59">
      <w:pPr>
        <w:spacing w:line="240" w:lineRule="auto"/>
        <w:rPr>
          <w:rFonts w:eastAsia="Times New Roman" w:cs="Times New Roman"/>
          <w:b/>
          <w:color w:val="auto"/>
          <w:szCs w:val="24"/>
          <w:lang w:val="es-CO"/>
        </w:rPr>
      </w:pPr>
      <w:r w:rsidRPr="00A67F62">
        <w:rPr>
          <w:rFonts w:eastAsia="Times New Roman" w:cs="Times New Roman"/>
          <w:b/>
          <w:color w:val="auto"/>
          <w:szCs w:val="24"/>
          <w:lang w:val="es-CO"/>
        </w:rPr>
        <w:t>Ahora bien, como en estos casos la potestad tributaria es compartida entre los dos Estados –Colombia y Suiza- el contribuyente válidamente puede acudir a las disposiciones de la cláusula relativa a los “Métodos para Eliminar la Doble Imposición.” pactada en el artículo 23 del CDI en estudio.</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 </w:t>
      </w:r>
    </w:p>
    <w:p w:rsidR="00DC1F59" w:rsidRPr="00A67F62" w:rsidRDefault="00DC1F59" w:rsidP="00DC1F59">
      <w:pPr>
        <w:spacing w:line="240" w:lineRule="auto"/>
        <w:rPr>
          <w:rFonts w:eastAsia="Times New Roman" w:cs="Times New Roman"/>
          <w:b/>
          <w:color w:val="auto"/>
          <w:szCs w:val="24"/>
          <w:lang w:val="es-CO"/>
        </w:rPr>
      </w:pPr>
      <w:r w:rsidRPr="00A67F62">
        <w:rPr>
          <w:rFonts w:eastAsia="Times New Roman" w:cs="Times New Roman"/>
          <w:b/>
          <w:color w:val="auto"/>
          <w:szCs w:val="24"/>
          <w:lang w:val="es-CO"/>
        </w:rPr>
        <w:t>Lo anterior sin perjuicio de la presentación de la declaración anual de activos en el exterior para los residentes fiscales. Se anexa el Oficio No. 027751 de octubre 7 de 2015 sobre el tema.</w:t>
      </w:r>
    </w:p>
    <w:p w:rsidR="00DC1F59" w:rsidRPr="00A67F62" w:rsidRDefault="00DC1F59" w:rsidP="00DC1F59">
      <w:pPr>
        <w:spacing w:line="240" w:lineRule="auto"/>
        <w:rPr>
          <w:rFonts w:eastAsia="Times New Roman" w:cs="Times New Roman"/>
          <w:b/>
          <w:color w:val="auto"/>
          <w:szCs w:val="24"/>
          <w:lang w:val="es-CO"/>
        </w:rPr>
      </w:pPr>
      <w:r w:rsidRPr="00A67F62">
        <w:rPr>
          <w:rFonts w:eastAsia="Times New Roman" w:cs="Times New Roman"/>
          <w:b/>
          <w:color w:val="auto"/>
          <w:szCs w:val="24"/>
          <w:lang w:val="es-CO"/>
        </w:rPr>
        <w:t> </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 </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Atentamente,</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 </w:t>
      </w:r>
    </w:p>
    <w:p w:rsidR="00DC1F59" w:rsidRPr="005849DC" w:rsidRDefault="00DC1F59" w:rsidP="00DC1F59">
      <w:pPr>
        <w:spacing w:line="240" w:lineRule="auto"/>
        <w:rPr>
          <w:rFonts w:eastAsia="Times New Roman" w:cs="Times New Roman"/>
          <w:color w:val="auto"/>
          <w:szCs w:val="24"/>
          <w:lang w:val="es-CO"/>
        </w:rPr>
      </w:pPr>
      <w:r w:rsidRPr="005849DC">
        <w:rPr>
          <w:rFonts w:eastAsia="Times New Roman" w:cs="Times New Roman"/>
          <w:b/>
          <w:bCs/>
          <w:color w:val="auto"/>
          <w:szCs w:val="24"/>
          <w:lang w:val="es-CO"/>
        </w:rPr>
        <w:t>PEDRO PABLO CONTRERAS CAMARGO</w:t>
      </w:r>
    </w:p>
    <w:p w:rsidR="00DC1F59" w:rsidRDefault="00DC1F59" w:rsidP="00DC1F59">
      <w:pPr>
        <w:spacing w:line="240" w:lineRule="auto"/>
        <w:rPr>
          <w:rFonts w:eastAsia="Times New Roman" w:cs="Times New Roman"/>
          <w:color w:val="auto"/>
          <w:szCs w:val="24"/>
          <w:lang w:val="es-CO"/>
        </w:rPr>
      </w:pPr>
      <w:r w:rsidRPr="005849DC">
        <w:rPr>
          <w:rFonts w:eastAsia="Times New Roman" w:cs="Times New Roman"/>
          <w:color w:val="auto"/>
          <w:szCs w:val="24"/>
          <w:lang w:val="es-CO"/>
        </w:rPr>
        <w:t>Subdirector de Gestión Normativa y Doctrina</w:t>
      </w:r>
      <w:r w:rsidR="00A67F62">
        <w:rPr>
          <w:rFonts w:eastAsia="Times New Roman" w:cs="Times New Roman"/>
          <w:color w:val="auto"/>
          <w:szCs w:val="24"/>
          <w:lang w:val="es-CO"/>
        </w:rPr>
        <w:t>.</w:t>
      </w:r>
    </w:p>
    <w:p w:rsidR="00A67F62" w:rsidRPr="005849DC" w:rsidRDefault="00A67F62" w:rsidP="00DC1F59">
      <w:pPr>
        <w:spacing w:line="240" w:lineRule="auto"/>
        <w:rPr>
          <w:rFonts w:eastAsia="Times New Roman" w:cs="Times New Roman"/>
          <w:color w:val="auto"/>
          <w:szCs w:val="24"/>
          <w:lang w:val="es-CO"/>
        </w:rPr>
      </w:pPr>
      <w:r>
        <w:rPr>
          <w:rFonts w:eastAsia="Times New Roman" w:cs="Times New Roman"/>
          <w:color w:val="auto"/>
          <w:szCs w:val="24"/>
          <w:lang w:val="es-CO"/>
        </w:rPr>
        <w:t>_________________________________________________________________________</w:t>
      </w:r>
      <w:bookmarkStart w:id="0" w:name="_GoBack"/>
      <w:bookmarkEnd w:id="0"/>
    </w:p>
    <w:p w:rsidR="00147980" w:rsidRPr="005849DC" w:rsidRDefault="00147980">
      <w:pPr>
        <w:rPr>
          <w:rFonts w:cs="Times New Roman"/>
          <w:color w:val="auto"/>
          <w:szCs w:val="24"/>
          <w:lang w:val="es-CO"/>
        </w:rPr>
      </w:pPr>
    </w:p>
    <w:sectPr w:rsidR="00147980" w:rsidRPr="005849DC"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F59"/>
    <w:rsid w:val="00147980"/>
    <w:rsid w:val="005849DC"/>
    <w:rsid w:val="00A67F62"/>
    <w:rsid w:val="00B66046"/>
    <w:rsid w:val="00DC1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DE94"/>
  <w15:chartTrackingRefBased/>
  <w15:docId w15:val="{2DD3269B-C670-4EF5-9934-CD6B8145A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7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37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31" TargetMode="External"/><Relationship Id="rId5" Type="http://schemas.openxmlformats.org/officeDocument/2006/relationships/hyperlink" Target="https://www.ceta.org.co/html/vista_de_un_articulo.asp?Norma=31" TargetMode="External"/><Relationship Id="rId4" Type="http://schemas.openxmlformats.org/officeDocument/2006/relationships/hyperlink" Target="mailto:alexander.gras@yaho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1690</Words>
  <Characters>9636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2018-03-10T19:33:00Z</dcterms:created>
  <dcterms:modified xsi:type="dcterms:W3CDTF">2018-03-18T12:41:00Z</dcterms:modified>
</cp:coreProperties>
</file>