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20" w:rsidRPr="00AC5C20" w:rsidRDefault="00AC5C20" w:rsidP="00AC5C20">
      <w:pPr>
        <w:spacing w:line="240" w:lineRule="auto"/>
        <w:jc w:val="center"/>
        <w:rPr>
          <w:rFonts w:eastAsia="Times New Roman" w:cs="Times New Roman"/>
          <w:color w:val="auto"/>
          <w:szCs w:val="24"/>
          <w:lang w:val="es-CO"/>
        </w:rPr>
      </w:pPr>
      <w:r w:rsidRPr="00AC5C20">
        <w:rPr>
          <w:rFonts w:eastAsia="Times New Roman" w:cs="Times New Roman"/>
          <w:b/>
          <w:bCs/>
          <w:color w:val="auto"/>
          <w:szCs w:val="24"/>
          <w:lang w:val="es-CO"/>
        </w:rPr>
        <w:t>OFICIO Nº 033116</w:t>
      </w:r>
    </w:p>
    <w:p w:rsidR="00AC5C20" w:rsidRPr="00AC5C20" w:rsidRDefault="00AC5C20" w:rsidP="00AC5C20">
      <w:pPr>
        <w:spacing w:line="240" w:lineRule="auto"/>
        <w:jc w:val="center"/>
        <w:rPr>
          <w:rFonts w:eastAsia="Times New Roman" w:cs="Times New Roman"/>
          <w:color w:val="auto"/>
          <w:szCs w:val="24"/>
          <w:lang w:val="es-CO"/>
        </w:rPr>
      </w:pPr>
      <w:r w:rsidRPr="00AC5C20">
        <w:rPr>
          <w:rFonts w:eastAsia="Times New Roman" w:cs="Times New Roman"/>
          <w:b/>
          <w:bCs/>
          <w:color w:val="auto"/>
          <w:szCs w:val="24"/>
          <w:lang w:val="es-CO"/>
        </w:rPr>
        <w:t>18-11-2015</w:t>
      </w:r>
    </w:p>
    <w:p w:rsidR="00AC5C20" w:rsidRPr="00AC5C20" w:rsidRDefault="00AC5C20" w:rsidP="00AC5C20">
      <w:pPr>
        <w:spacing w:line="240" w:lineRule="auto"/>
        <w:jc w:val="center"/>
        <w:rPr>
          <w:rFonts w:eastAsia="Times New Roman" w:cs="Times New Roman"/>
          <w:color w:val="auto"/>
          <w:szCs w:val="24"/>
          <w:lang w:val="es-CO"/>
        </w:rPr>
      </w:pPr>
      <w:r w:rsidRPr="00AC5C20">
        <w:rPr>
          <w:rFonts w:eastAsia="Times New Roman" w:cs="Times New Roman"/>
          <w:b/>
          <w:bCs/>
          <w:color w:val="auto"/>
          <w:szCs w:val="24"/>
          <w:lang w:val="es-CO"/>
        </w:rPr>
        <w:t>DIAN</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Subdirección de Gestión Normativa y Doctrina</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Bogotá, D.C.</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100208221-001500</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Señora</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bCs/>
          <w:color w:val="auto"/>
          <w:szCs w:val="24"/>
          <w:lang w:val="es-CO"/>
        </w:rPr>
        <w:t>ADRIANA MENDOZA BARÓN</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Calle 64 A No. 57 – 23 Torre 4 Apto. 203</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Bogotá D.C.</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proofErr w:type="spellStart"/>
      <w:r w:rsidRPr="00AC5C20">
        <w:rPr>
          <w:rFonts w:eastAsia="Times New Roman" w:cs="Times New Roman"/>
          <w:b/>
          <w:color w:val="auto"/>
          <w:szCs w:val="24"/>
          <w:lang w:val="es-CO"/>
        </w:rPr>
        <w:t>Ref</w:t>
      </w:r>
      <w:proofErr w:type="spellEnd"/>
      <w:r w:rsidRPr="00AC5C20">
        <w:rPr>
          <w:rFonts w:eastAsia="Times New Roman" w:cs="Times New Roman"/>
          <w:b/>
          <w:color w:val="auto"/>
          <w:szCs w:val="24"/>
          <w:lang w:val="es-CO"/>
        </w:rPr>
        <w:t xml:space="preserve">: </w:t>
      </w:r>
      <w:r w:rsidRPr="00AC5C20">
        <w:rPr>
          <w:rFonts w:eastAsia="Times New Roman" w:cs="Times New Roman"/>
          <w:color w:val="auto"/>
          <w:szCs w:val="24"/>
          <w:lang w:val="es-CO"/>
        </w:rPr>
        <w:t>Radicado 100031001 del 05/10/2015</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bCs/>
          <w:color w:val="auto"/>
          <w:szCs w:val="24"/>
          <w:lang w:val="es-CO"/>
        </w:rPr>
        <w:t xml:space="preserve">Tema </w:t>
      </w:r>
      <w:r w:rsidRPr="00AC5C20">
        <w:rPr>
          <w:rFonts w:eastAsia="Times New Roman" w:cs="Times New Roman"/>
          <w:color w:val="auto"/>
          <w:szCs w:val="24"/>
          <w:lang w:val="es-CO"/>
        </w:rPr>
        <w:t>Impuesto sobre la renta y complementarios</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bCs/>
          <w:color w:val="auto"/>
          <w:szCs w:val="24"/>
          <w:lang w:val="es-CO"/>
        </w:rPr>
        <w:t xml:space="preserve">Descriptores </w:t>
      </w:r>
      <w:r w:rsidRPr="00AC5C20">
        <w:rPr>
          <w:rFonts w:eastAsia="Times New Roman" w:cs="Times New Roman"/>
          <w:color w:val="auto"/>
          <w:szCs w:val="24"/>
          <w:lang w:val="es-CO"/>
        </w:rPr>
        <w:t>Ganancias ocasionales exentas; Herencias; Legados</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bCs/>
          <w:color w:val="auto"/>
          <w:szCs w:val="24"/>
          <w:lang w:val="es-CO"/>
        </w:rPr>
        <w:t xml:space="preserve">Fuentes Formales </w:t>
      </w:r>
      <w:r w:rsidRPr="00AC5C20">
        <w:rPr>
          <w:rFonts w:eastAsia="Times New Roman" w:cs="Times New Roman"/>
          <w:color w:val="auto"/>
          <w:szCs w:val="24"/>
          <w:lang w:val="es-CO"/>
        </w:rPr>
        <w:t>Estatuto Tributario, artículo 307, numerales 1 y 3.</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De conformidad con el artículo 20 del Decreto 4048 de 2008, es fundón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Consulta en el escrito de la referencia si en una sucesión se pueden aplicar de manera simultánea, en relación con un mismo inmueble, las exenciones del impuesto a las ganancias ocasionales consagradas en los numerales 1º y 3º del artículo 307 del Estatuto Tributario.</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Sobre el particular, teniendo en cuenta que este Despacho se pronunció en relación con el tema consultado mediante Oficio 49408 de 2014, por constituir doctrina vigente en la materia, de manera atenta nos permitimos transcribirlo en uno de sus apartes pertinentes:</w:t>
      </w:r>
    </w:p>
    <w:p w:rsidR="00AC5C20" w:rsidRPr="00AC5C20" w:rsidRDefault="00AC5C20" w:rsidP="00AC5C20">
      <w:pPr>
        <w:spacing w:line="240" w:lineRule="auto"/>
        <w:ind w:left="524"/>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ind w:left="524"/>
        <w:rPr>
          <w:rFonts w:eastAsia="Times New Roman" w:cs="Times New Roman"/>
          <w:color w:val="auto"/>
          <w:szCs w:val="24"/>
          <w:lang w:val="es-CO"/>
        </w:rPr>
      </w:pPr>
      <w:r w:rsidRPr="00AC5C20">
        <w:rPr>
          <w:rFonts w:eastAsia="Times New Roman" w:cs="Times New Roman"/>
          <w:color w:val="auto"/>
          <w:szCs w:val="24"/>
          <w:lang w:val="es-CO"/>
        </w:rPr>
        <w:t>"... 5. ¿Son concurrentes las exenciones de que tratan los numerales 1 y 2 del artículo 307 del Estatuto Tributario con las señaladas en los numerales 3 y 4 de la misma norma?</w:t>
      </w:r>
    </w:p>
    <w:p w:rsidR="00AC5C20" w:rsidRPr="00AC5C20" w:rsidRDefault="00AC5C20" w:rsidP="00AC5C20">
      <w:pPr>
        <w:spacing w:line="240" w:lineRule="auto"/>
        <w:ind w:left="524"/>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ind w:left="524"/>
        <w:rPr>
          <w:rFonts w:eastAsia="Times New Roman" w:cs="Times New Roman"/>
          <w:color w:val="auto"/>
          <w:szCs w:val="24"/>
          <w:lang w:val="es-CO"/>
        </w:rPr>
      </w:pPr>
      <w:r w:rsidRPr="00AC5C20">
        <w:rPr>
          <w:rFonts w:eastAsia="Times New Roman" w:cs="Times New Roman"/>
          <w:color w:val="auto"/>
          <w:szCs w:val="24"/>
          <w:lang w:val="es-CO"/>
        </w:rPr>
        <w:t>El artículo 307 del Estatuto Tributario apareja:</w:t>
      </w: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b/>
          <w:i/>
          <w:iCs/>
          <w:color w:val="auto"/>
          <w:szCs w:val="24"/>
          <w:lang w:val="es-CO"/>
        </w:rPr>
        <w:t>“ARTÍCULO 307. GANANCIAS OCASIONALES EXENTAS.</w:t>
      </w:r>
      <w:r w:rsidRPr="00AC5C20">
        <w:rPr>
          <w:rFonts w:eastAsia="Times New Roman" w:cs="Times New Roman"/>
          <w:i/>
          <w:iCs/>
          <w:color w:val="auto"/>
          <w:szCs w:val="24"/>
          <w:lang w:val="es-CO"/>
        </w:rPr>
        <w:t xml:space="preserve"> &lt;Artículo modificado por el artículo 104 de la Ley 1607 de 2012</w:t>
      </w:r>
      <w:r w:rsidRPr="00AC5C20">
        <w:rPr>
          <w:rFonts w:eastAsia="Times New Roman" w:cs="Times New Roman"/>
          <w:i/>
          <w:color w:val="auto"/>
          <w:szCs w:val="24"/>
          <w:lang w:val="es-CO"/>
        </w:rPr>
        <w:t xml:space="preserve">. </w:t>
      </w:r>
      <w:r w:rsidRPr="00AC5C20">
        <w:rPr>
          <w:rFonts w:eastAsia="Times New Roman" w:cs="Times New Roman"/>
          <w:i/>
          <w:iCs/>
          <w:color w:val="auto"/>
          <w:szCs w:val="24"/>
          <w:lang w:val="es-CO"/>
        </w:rPr>
        <w:t>El nuevo texto es el siguiente:&gt; Las ganancias ocasionales que se enumeran a continuación están exentas del impuesto a las ganancias ocasionales:</w:t>
      </w: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pStyle w:val="Prrafodelista"/>
        <w:numPr>
          <w:ilvl w:val="0"/>
          <w:numId w:val="1"/>
        </w:numPr>
        <w:spacing w:line="240" w:lineRule="auto"/>
        <w:rPr>
          <w:rFonts w:eastAsia="Times New Roman" w:cs="Times New Roman"/>
          <w:i/>
          <w:color w:val="auto"/>
          <w:szCs w:val="24"/>
          <w:lang w:val="es-CO"/>
        </w:rPr>
      </w:pPr>
      <w:r w:rsidRPr="00AC5C20">
        <w:rPr>
          <w:rFonts w:eastAsia="Times New Roman" w:cs="Times New Roman"/>
          <w:i/>
          <w:iCs/>
          <w:color w:val="auto"/>
          <w:szCs w:val="24"/>
          <w:lang w:val="es-CO"/>
        </w:rPr>
        <w:t xml:space="preserve">El equivalente a las primeras siete mil setecientas (7.700) UVT </w:t>
      </w:r>
      <w:r w:rsidRPr="00AC5C20">
        <w:rPr>
          <w:rFonts w:eastAsia="Times New Roman" w:cs="Times New Roman"/>
          <w:i/>
          <w:iCs/>
          <w:color w:val="auto"/>
          <w:szCs w:val="24"/>
          <w:u w:val="single"/>
          <w:lang w:val="es-CO"/>
        </w:rPr>
        <w:t>del valor de un inmueble de vivienda urbana de propiedad del causante</w:t>
      </w:r>
      <w:r w:rsidRPr="00AC5C20">
        <w:rPr>
          <w:rFonts w:eastAsia="Times New Roman" w:cs="Times New Roman"/>
          <w:i/>
          <w:color w:val="auto"/>
          <w:szCs w:val="24"/>
          <w:lang w:val="es-CO"/>
        </w:rPr>
        <w:t>.</w:t>
      </w:r>
    </w:p>
    <w:p w:rsidR="00AC5C20" w:rsidRPr="00AC5C20" w:rsidRDefault="00AC5C20" w:rsidP="00AC5C20">
      <w:pPr>
        <w:pStyle w:val="Prrafodelista"/>
        <w:spacing w:line="240" w:lineRule="auto"/>
        <w:ind w:left="1167"/>
        <w:rPr>
          <w:rFonts w:eastAsia="Times New Roman" w:cs="Times New Roman"/>
          <w:color w:val="auto"/>
          <w:szCs w:val="24"/>
          <w:lang w:val="es-CO"/>
        </w:rPr>
      </w:pP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i/>
          <w:iCs/>
          <w:color w:val="auto"/>
          <w:szCs w:val="24"/>
          <w:lang w:val="es-CO"/>
        </w:rPr>
        <w:t>2. El equivalente a las primeras siete mil setecientas (7</w:t>
      </w:r>
      <w:r w:rsidRPr="00AC5C20">
        <w:rPr>
          <w:rFonts w:eastAsia="Times New Roman" w:cs="Times New Roman"/>
          <w:i/>
          <w:color w:val="auto"/>
          <w:szCs w:val="24"/>
          <w:lang w:val="es-CO"/>
        </w:rPr>
        <w:t>.</w:t>
      </w:r>
      <w:r w:rsidRPr="00AC5C20">
        <w:rPr>
          <w:rFonts w:eastAsia="Times New Roman" w:cs="Times New Roman"/>
          <w:i/>
          <w:iCs/>
          <w:color w:val="auto"/>
          <w:szCs w:val="24"/>
          <w:lang w:val="es-CO"/>
        </w:rPr>
        <w:t xml:space="preserve">700) UVT </w:t>
      </w:r>
      <w:r w:rsidRPr="00AC5C20">
        <w:rPr>
          <w:rFonts w:eastAsia="Times New Roman" w:cs="Times New Roman"/>
          <w:i/>
          <w:iCs/>
          <w:color w:val="auto"/>
          <w:szCs w:val="24"/>
          <w:u w:val="single"/>
          <w:lang w:val="es-CO"/>
        </w:rPr>
        <w:t>de un inmueble rural de propiedad del causante</w:t>
      </w:r>
      <w:r w:rsidRPr="00AC5C20">
        <w:rPr>
          <w:rFonts w:eastAsia="Times New Roman" w:cs="Times New Roman"/>
          <w:i/>
          <w:iCs/>
          <w:color w:val="auto"/>
          <w:szCs w:val="24"/>
          <w:lang w:val="es-CO"/>
        </w:rPr>
        <w:t>, independientemente de que dicho inmueble haya estado destinado a vivienda o a explotación económica. Esta exención no es aplicable a las casas, quintas o fincas de recreo.</w:t>
      </w:r>
    </w:p>
    <w:p w:rsidR="00AC5C20" w:rsidRDefault="00AC5C20" w:rsidP="00AC5C20">
      <w:pPr>
        <w:spacing w:line="240" w:lineRule="auto"/>
        <w:ind w:left="807"/>
        <w:rPr>
          <w:rFonts w:eastAsia="Times New Roman" w:cs="Times New Roman"/>
          <w:i/>
          <w:iCs/>
          <w:color w:val="auto"/>
          <w:szCs w:val="24"/>
          <w:lang w:val="es-CO"/>
        </w:rPr>
      </w:pP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i/>
          <w:iCs/>
          <w:color w:val="auto"/>
          <w:szCs w:val="24"/>
          <w:lang w:val="es-CO"/>
        </w:rPr>
        <w:t xml:space="preserve">3. El equivalente a las primeras tres mil cuatrocientas noventa (3.490) UVT </w:t>
      </w:r>
      <w:r w:rsidRPr="00AC5C20">
        <w:rPr>
          <w:rFonts w:eastAsia="Times New Roman" w:cs="Times New Roman"/>
          <w:i/>
          <w:iCs/>
          <w:color w:val="auto"/>
          <w:szCs w:val="24"/>
          <w:u w:val="single"/>
          <w:lang w:val="es-CO"/>
        </w:rPr>
        <w:t>del valor de las asignaciones que por concepto de porción conyugal o de herencia o legado reciban el cónyuge supérstite y cada uno de los herederos o legatarios</w:t>
      </w:r>
      <w:r w:rsidRPr="00AC5C20">
        <w:rPr>
          <w:rFonts w:eastAsia="Times New Roman" w:cs="Times New Roman"/>
          <w:i/>
          <w:iCs/>
          <w:color w:val="auto"/>
          <w:szCs w:val="24"/>
          <w:lang w:val="es-CO"/>
        </w:rPr>
        <w:t xml:space="preserve">, </w:t>
      </w:r>
      <w:r w:rsidRPr="00AC5C20">
        <w:rPr>
          <w:rFonts w:eastAsia="Times New Roman" w:cs="Times New Roman"/>
          <w:i/>
          <w:color w:val="auto"/>
          <w:szCs w:val="24"/>
          <w:lang w:val="es-CO"/>
        </w:rPr>
        <w:t>según el caso.</w:t>
      </w:r>
    </w:p>
    <w:p w:rsidR="00AC5C20" w:rsidRPr="00AC5C20" w:rsidRDefault="00AC5C20" w:rsidP="00AC5C20">
      <w:pPr>
        <w:spacing w:line="240" w:lineRule="auto"/>
        <w:ind w:left="807"/>
        <w:rPr>
          <w:rFonts w:eastAsia="Times New Roman" w:cs="Times New Roman"/>
          <w:color w:val="auto"/>
          <w:szCs w:val="24"/>
          <w:lang w:val="es-CO"/>
        </w:rPr>
      </w:pPr>
      <w:r w:rsidRPr="00AC5C20">
        <w:rPr>
          <w:rFonts w:eastAsia="Times New Roman" w:cs="Times New Roman"/>
          <w:i/>
          <w:iCs/>
          <w:color w:val="auto"/>
          <w:szCs w:val="24"/>
          <w:lang w:val="es-CO"/>
        </w:rPr>
        <w:lastRenderedPageBreak/>
        <w:t xml:space="preserve">4. </w:t>
      </w:r>
      <w:r w:rsidRPr="00AC5C20">
        <w:rPr>
          <w:rFonts w:eastAsia="Times New Roman" w:cs="Times New Roman"/>
          <w:i/>
          <w:iCs/>
          <w:color w:val="auto"/>
          <w:szCs w:val="24"/>
          <w:u w:val="single"/>
          <w:lang w:val="es-CO"/>
        </w:rPr>
        <w:t>El 20% del valor de los bienes y/ (sic) derechos recibidos por personas diferentes de los legitimarios y/o el cónyuge supérstite por concepto de herencias y legados, y el 20% de los bienes y derechos recibidos por concepto de donaciones y de otros actos jurídicos Inter vivos celebrados a título gratuito</w:t>
      </w:r>
      <w:r w:rsidRPr="00AC5C20">
        <w:rPr>
          <w:rFonts w:eastAsia="Times New Roman" w:cs="Times New Roman"/>
          <w:i/>
          <w:color w:val="auto"/>
          <w:szCs w:val="24"/>
          <w:lang w:val="es-CO"/>
        </w:rPr>
        <w:t xml:space="preserve">, </w:t>
      </w:r>
      <w:r w:rsidRPr="00AC5C20">
        <w:rPr>
          <w:rFonts w:eastAsia="Times New Roman" w:cs="Times New Roman"/>
          <w:i/>
          <w:iCs/>
          <w:color w:val="auto"/>
          <w:szCs w:val="24"/>
          <w:lang w:val="es-CO"/>
        </w:rPr>
        <w:t xml:space="preserve">sin que dicha suma supere el equivalente a dos mil doscientas noventa (2.290) UVT. (...)” </w:t>
      </w:r>
      <w:r w:rsidRPr="00AC5C20">
        <w:rPr>
          <w:rFonts w:eastAsia="Times New Roman" w:cs="Times New Roman"/>
          <w:color w:val="auto"/>
          <w:szCs w:val="24"/>
          <w:lang w:val="es-CO"/>
        </w:rPr>
        <w:t>(subrayado fuera de texto).</w:t>
      </w:r>
    </w:p>
    <w:p w:rsidR="00AC5C20" w:rsidRPr="00AC5C20" w:rsidRDefault="00AC5C20" w:rsidP="00AC5C20">
      <w:pPr>
        <w:spacing w:line="240" w:lineRule="auto"/>
        <w:ind w:left="524"/>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highlight w:val="green"/>
          <w:lang w:val="es-CO"/>
        </w:rPr>
        <w:t>A partir de una lectura de lo transcrito, este Despacho considera que las exenciones de que tratan los numerales 1 y 2 del artículo 307 del Estatuto Tributario son concurrentes con las señaladas en los numerales 3 y 4 de la misma norma</w:t>
      </w:r>
      <w:r w:rsidRPr="00AC5C20">
        <w:rPr>
          <w:rFonts w:eastAsia="Times New Roman" w:cs="Times New Roman"/>
          <w:color w:val="auto"/>
          <w:szCs w:val="24"/>
          <w:lang w:val="es-CO"/>
        </w:rPr>
        <w:t>, al afectar circunstancias disímiles entre sí; pues, mientras las primeras se circunscriben al valor de un inmueble propiedad del causante, sea de vivienda urbana o rural, antes de su correspondiente adjudicación o partición, las segundas atañen a los bienes y derechos efectivamente recibidos con ocasión de una herencia, legado, entre otros actos jurídicos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rPr>
      </w:pPr>
      <w:proofErr w:type="spellStart"/>
      <w:r w:rsidRPr="00AC5C20">
        <w:rPr>
          <w:rFonts w:eastAsia="Times New Roman" w:cs="Times New Roman"/>
          <w:color w:val="auto"/>
          <w:szCs w:val="24"/>
        </w:rPr>
        <w:t>Atentamente</w:t>
      </w:r>
      <w:proofErr w:type="spellEnd"/>
      <w:r w:rsidRPr="00AC5C20">
        <w:rPr>
          <w:rFonts w:eastAsia="Times New Roman" w:cs="Times New Roman"/>
          <w:color w:val="auto"/>
          <w:szCs w:val="24"/>
        </w:rPr>
        <w:t>,</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 </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bCs/>
          <w:color w:val="auto"/>
          <w:szCs w:val="24"/>
          <w:lang w:val="es-CO"/>
        </w:rPr>
        <w:t>PEDRO PABLO CONTRERAS CAMARGO</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color w:val="auto"/>
          <w:szCs w:val="24"/>
          <w:lang w:val="es-CO"/>
        </w:rPr>
        <w:t>Subdirector de Gestión Normativa y Doctrina (E)</w:t>
      </w:r>
    </w:p>
    <w:p w:rsidR="00AC5C20" w:rsidRPr="00AC5C20" w:rsidRDefault="00AC5C20" w:rsidP="00AC5C20">
      <w:pPr>
        <w:spacing w:line="240" w:lineRule="auto"/>
        <w:rPr>
          <w:rFonts w:eastAsia="Times New Roman" w:cs="Times New Roman"/>
          <w:color w:val="auto"/>
          <w:szCs w:val="24"/>
          <w:lang w:val="es-CO"/>
        </w:rPr>
      </w:pPr>
      <w:r w:rsidRPr="00AC5C20">
        <w:rPr>
          <w:rFonts w:eastAsia="Times New Roman" w:cs="Times New Roman"/>
          <w:b/>
          <w:color w:val="auto"/>
          <w:szCs w:val="24"/>
          <w:lang w:val="es-CO"/>
        </w:rPr>
        <w:t>Publicado en D.O. 49.729 del 17 de diciembre de 2015.</w:t>
      </w:r>
    </w:p>
    <w:p w:rsidR="00147980" w:rsidRPr="00AC5C20" w:rsidRDefault="00AC5C20">
      <w:pPr>
        <w:rPr>
          <w:rFonts w:cs="Times New Roman"/>
          <w:color w:val="auto"/>
          <w:szCs w:val="24"/>
          <w:lang w:val="es-CO"/>
        </w:rPr>
      </w:pPr>
      <w:r>
        <w:rPr>
          <w:rFonts w:cs="Times New Roman"/>
          <w:color w:val="auto"/>
          <w:szCs w:val="24"/>
          <w:lang w:val="es-CO"/>
        </w:rPr>
        <w:t>______________________________________________</w:t>
      </w:r>
      <w:bookmarkStart w:id="0" w:name="_GoBack"/>
      <w:bookmarkEnd w:id="0"/>
      <w:r>
        <w:rPr>
          <w:rFonts w:cs="Times New Roman"/>
          <w:color w:val="auto"/>
          <w:szCs w:val="24"/>
          <w:lang w:val="es-CO"/>
        </w:rPr>
        <w:t>___________________________</w:t>
      </w:r>
    </w:p>
    <w:sectPr w:rsidR="00147980" w:rsidRPr="00AC5C2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827DE"/>
    <w:multiLevelType w:val="hybridMultilevel"/>
    <w:tmpl w:val="8F2AB180"/>
    <w:lvl w:ilvl="0" w:tplc="217299FA">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20"/>
    <w:rsid w:val="00147980"/>
    <w:rsid w:val="00AC5C2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2A6D"/>
  <w15:chartTrackingRefBased/>
  <w15:docId w15:val="{676A6D20-6547-497C-8CBC-B2FC02EE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21096">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2018-08-21T23:17:00Z</dcterms:created>
  <dcterms:modified xsi:type="dcterms:W3CDTF">2018-08-21T23:20:00Z</dcterms:modified>
</cp:coreProperties>
</file>