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8D" w:rsidRPr="007C2E8D" w:rsidRDefault="007C2E8D">
      <w:pPr>
        <w:rPr>
          <w:rFonts w:cs="Times New Roman"/>
          <w:color w:val="auto"/>
          <w:szCs w:val="24"/>
        </w:rPr>
      </w:pPr>
    </w:p>
    <w:p w:rsidR="007C2E8D" w:rsidRPr="007C2E8D" w:rsidRDefault="007C2E8D">
      <w:pPr>
        <w:rPr>
          <w:rFonts w:cs="Times New Roman"/>
          <w:color w:val="auto"/>
          <w:szCs w:val="24"/>
        </w:rPr>
      </w:pPr>
    </w:p>
    <w:p w:rsidR="007C2E8D" w:rsidRPr="007C2E8D" w:rsidRDefault="007C2E8D" w:rsidP="007C2E8D">
      <w:pPr>
        <w:spacing w:line="240" w:lineRule="auto"/>
        <w:jc w:val="center"/>
        <w:rPr>
          <w:rFonts w:eastAsia="Times New Roman" w:cs="Times New Roman"/>
          <w:color w:val="auto"/>
          <w:szCs w:val="24"/>
          <w:lang w:val="es-CO"/>
        </w:rPr>
      </w:pPr>
      <w:r w:rsidRPr="007C2E8D">
        <w:rPr>
          <w:rFonts w:eastAsia="Times New Roman" w:cs="Times New Roman"/>
          <w:b/>
          <w:bCs/>
          <w:color w:val="auto"/>
          <w:szCs w:val="24"/>
          <w:lang w:val="es-CO"/>
        </w:rPr>
        <w:t>OFICIO Nº 012212</w:t>
      </w:r>
    </w:p>
    <w:p w:rsidR="007C2E8D" w:rsidRPr="007C2E8D" w:rsidRDefault="007C2E8D" w:rsidP="007C2E8D">
      <w:pPr>
        <w:spacing w:line="240" w:lineRule="auto"/>
        <w:jc w:val="center"/>
        <w:rPr>
          <w:rFonts w:eastAsia="Times New Roman" w:cs="Times New Roman"/>
          <w:color w:val="auto"/>
          <w:szCs w:val="24"/>
          <w:lang w:val="es-CO"/>
        </w:rPr>
      </w:pPr>
      <w:r w:rsidRPr="007C2E8D">
        <w:rPr>
          <w:rFonts w:eastAsia="Times New Roman" w:cs="Times New Roman"/>
          <w:b/>
          <w:bCs/>
          <w:color w:val="auto"/>
          <w:szCs w:val="24"/>
          <w:lang w:val="es-CO"/>
        </w:rPr>
        <w:t>10-05-2018</w:t>
      </w:r>
    </w:p>
    <w:p w:rsidR="007C2E8D" w:rsidRPr="007C2E8D" w:rsidRDefault="007C2E8D" w:rsidP="007C2E8D">
      <w:pPr>
        <w:spacing w:line="240" w:lineRule="auto"/>
        <w:jc w:val="center"/>
        <w:rPr>
          <w:rFonts w:eastAsia="Times New Roman" w:cs="Times New Roman"/>
          <w:color w:val="auto"/>
          <w:szCs w:val="24"/>
          <w:lang w:val="es-CO"/>
        </w:rPr>
      </w:pPr>
      <w:r w:rsidRPr="007C2E8D">
        <w:rPr>
          <w:rFonts w:eastAsia="Times New Roman" w:cs="Times New Roman"/>
          <w:b/>
          <w:bCs/>
          <w:color w:val="auto"/>
          <w:szCs w:val="24"/>
          <w:lang w:val="es-CO"/>
        </w:rPr>
        <w:t>DIAN</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b/>
          <w:bCs/>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b/>
          <w:bCs/>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Subdirección de Gestión Normativa y Doctrina</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100208221- 000698</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Bogotá, D.C.</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Señor</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b/>
          <w:bCs/>
          <w:color w:val="auto"/>
          <w:szCs w:val="24"/>
          <w:lang w:val="es-CO"/>
        </w:rPr>
        <w:t>DANIEL DÍAZ RIVERA</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Calle 92 No. 11 – 51 Piso 4</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Bogotá, D.C.</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proofErr w:type="spellStart"/>
      <w:r w:rsidRPr="007C2E8D">
        <w:rPr>
          <w:rFonts w:eastAsia="Times New Roman" w:cs="Times New Roman"/>
          <w:b/>
          <w:bCs/>
          <w:color w:val="auto"/>
          <w:szCs w:val="24"/>
          <w:lang w:val="es-CO"/>
        </w:rPr>
        <w:t>Ref</w:t>
      </w:r>
      <w:proofErr w:type="spellEnd"/>
      <w:r w:rsidRPr="007C2E8D">
        <w:rPr>
          <w:rFonts w:eastAsia="Times New Roman" w:cs="Times New Roman"/>
          <w:b/>
          <w:bCs/>
          <w:color w:val="auto"/>
          <w:szCs w:val="24"/>
          <w:lang w:val="es-CO"/>
        </w:rPr>
        <w:t>:</w:t>
      </w:r>
      <w:r w:rsidRPr="007C2E8D">
        <w:rPr>
          <w:rFonts w:eastAsia="Times New Roman" w:cs="Times New Roman"/>
          <w:color w:val="auto"/>
          <w:szCs w:val="24"/>
          <w:lang w:val="es-CO"/>
        </w:rPr>
        <w:t> Radicado 100002109 del 08/02/2018</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Cordial saludo Sr. Díaz</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Pregunta usted:</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1- En el marco de un contrato de concesión que contemple las etapas de construcción, administración, operación y mantenimiento, aplica la exclusión de los bienes vinculados a la empresa en período improductivo, ent</w:t>
      </w:r>
      <w:bookmarkStart w:id="0" w:name="_GoBack"/>
      <w:bookmarkEnd w:id="0"/>
      <w:r w:rsidRPr="007C2E8D">
        <w:rPr>
          <w:rFonts w:eastAsia="Times New Roman" w:cs="Times New Roman"/>
          <w:color w:val="auto"/>
          <w:szCs w:val="24"/>
          <w:lang w:val="es-CO"/>
        </w:rPr>
        <w:t>endiendo esta como el vehículo societario de propósito especial, durante la fase de construcción?</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En primer lugar, el literal c) del </w:t>
      </w:r>
      <w:hyperlink r:id="rId4" w:tooltip="Estatuto Tributario CETA" w:history="1">
        <w:r w:rsidRPr="007C2E8D">
          <w:rPr>
            <w:rFonts w:eastAsia="Times New Roman" w:cs="Times New Roman"/>
            <w:color w:val="auto"/>
            <w:szCs w:val="24"/>
            <w:u w:val="single"/>
            <w:lang w:val="es-CO"/>
          </w:rPr>
          <w:t>Artículo 189</w:t>
        </w:r>
      </w:hyperlink>
      <w:r w:rsidRPr="007C2E8D">
        <w:rPr>
          <w:rFonts w:eastAsia="Times New Roman" w:cs="Times New Roman"/>
          <w:color w:val="auto"/>
          <w:szCs w:val="24"/>
          <w:lang w:val="es-CO"/>
        </w:rPr>
        <w:t> del Estatuto Tributario permite detraer de la base gravable: </w:t>
      </w:r>
      <w:r w:rsidRPr="007C2E8D">
        <w:rPr>
          <w:rFonts w:eastAsia="Times New Roman" w:cs="Times New Roman"/>
          <w:i/>
          <w:iCs/>
          <w:color w:val="auto"/>
          <w:szCs w:val="24"/>
          <w:lang w:val="es-CO"/>
        </w:rPr>
        <w:t>“c) El valor patrimonial neto de los bienes vinculados a empresas en período improductivo”.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Con base en lo anterior, es necesario determinar qué se entiende por período improductivo en el marco del Decreto 1625 de 2016 (DUR).</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“Artículo 1.2.1.19.6. Período improductivo. </w:t>
      </w:r>
      <w:r w:rsidRPr="007C2E8D">
        <w:rPr>
          <w:rFonts w:eastAsia="Times New Roman" w:cs="Times New Roman"/>
          <w:i/>
          <w:iCs/>
          <w:color w:val="auto"/>
          <w:szCs w:val="24"/>
          <w:lang w:val="es-CO"/>
        </w:rPr>
        <w:t>En las empresas industriales de transformación, de hotelería y de minería, se considera como período improductivo el comprendido por las siguientes etapas:</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xml:space="preserve">a) </w:t>
      </w:r>
      <w:proofErr w:type="spellStart"/>
      <w:r w:rsidRPr="007C2E8D">
        <w:rPr>
          <w:rFonts w:eastAsia="Times New Roman" w:cs="Times New Roman"/>
          <w:i/>
          <w:iCs/>
          <w:color w:val="auto"/>
          <w:szCs w:val="24"/>
          <w:lang w:val="es-CO"/>
        </w:rPr>
        <w:t>Prospectación</w:t>
      </w:r>
      <w:proofErr w:type="spellEnd"/>
      <w:r w:rsidRPr="007C2E8D">
        <w:rPr>
          <w:rFonts w:eastAsia="Times New Roman" w:cs="Times New Roman"/>
          <w:i/>
          <w:iCs/>
          <w:color w:val="auto"/>
          <w:szCs w:val="24"/>
          <w:lang w:val="es-CO"/>
        </w:rPr>
        <w:t>;</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b) Construcción, instalación y montaje;</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c) Ensayos y puesta en marcha.</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En la industria de construcción y venta de inmuebles se considera como período improductivo el comprendido por las etapas de:</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xml:space="preserve">a) </w:t>
      </w:r>
      <w:proofErr w:type="spellStart"/>
      <w:r w:rsidRPr="007C2E8D">
        <w:rPr>
          <w:rFonts w:eastAsia="Times New Roman" w:cs="Times New Roman"/>
          <w:i/>
          <w:iCs/>
          <w:color w:val="auto"/>
          <w:szCs w:val="24"/>
          <w:lang w:val="es-CO"/>
        </w:rPr>
        <w:t>Prospectación</w:t>
      </w:r>
      <w:proofErr w:type="spellEnd"/>
      <w:r w:rsidRPr="007C2E8D">
        <w:rPr>
          <w:rFonts w:eastAsia="Times New Roman" w:cs="Times New Roman"/>
          <w:i/>
          <w:iCs/>
          <w:color w:val="auto"/>
          <w:szCs w:val="24"/>
          <w:lang w:val="es-CO"/>
        </w:rPr>
        <w:t>;</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b) Construcción”</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xml:space="preserve">En ese sentido, los Artículos 1.2.1.19.7 y 1.2.1.19.8 ibídem, definen qué se entiende por etapa de </w:t>
      </w:r>
      <w:proofErr w:type="spellStart"/>
      <w:r w:rsidRPr="007C2E8D">
        <w:rPr>
          <w:rFonts w:eastAsia="Times New Roman" w:cs="Times New Roman"/>
          <w:color w:val="auto"/>
          <w:szCs w:val="24"/>
          <w:lang w:val="es-CO"/>
        </w:rPr>
        <w:t>prospectación</w:t>
      </w:r>
      <w:proofErr w:type="spellEnd"/>
      <w:r w:rsidRPr="007C2E8D">
        <w:rPr>
          <w:rFonts w:eastAsia="Times New Roman" w:cs="Times New Roman"/>
          <w:color w:val="auto"/>
          <w:szCs w:val="24"/>
          <w:lang w:val="es-CO"/>
        </w:rPr>
        <w:t>:</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lastRenderedPageBreak/>
        <w:t xml:space="preserve">“Artículo 1.2.1.19.7. Etapa de </w:t>
      </w:r>
      <w:proofErr w:type="spellStart"/>
      <w:r w:rsidRPr="007C2E8D">
        <w:rPr>
          <w:rFonts w:eastAsia="Times New Roman" w:cs="Times New Roman"/>
          <w:b/>
          <w:bCs/>
          <w:i/>
          <w:iCs/>
          <w:color w:val="auto"/>
          <w:szCs w:val="24"/>
          <w:lang w:val="es-CO"/>
        </w:rPr>
        <w:t>prospectación</w:t>
      </w:r>
      <w:proofErr w:type="spellEnd"/>
      <w:r w:rsidRPr="007C2E8D">
        <w:rPr>
          <w:rFonts w:eastAsia="Times New Roman" w:cs="Times New Roman"/>
          <w:b/>
          <w:bCs/>
          <w:i/>
          <w:iCs/>
          <w:color w:val="auto"/>
          <w:szCs w:val="24"/>
          <w:lang w:val="es-CO"/>
        </w:rPr>
        <w:t>. </w:t>
      </w:r>
      <w:r w:rsidRPr="007C2E8D">
        <w:rPr>
          <w:rFonts w:eastAsia="Times New Roman" w:cs="Times New Roman"/>
          <w:i/>
          <w:iCs/>
          <w:color w:val="auto"/>
          <w:szCs w:val="24"/>
          <w:lang w:val="es-CO"/>
        </w:rPr>
        <w:t xml:space="preserve">La etapa de </w:t>
      </w:r>
      <w:proofErr w:type="spellStart"/>
      <w:r w:rsidRPr="007C2E8D">
        <w:rPr>
          <w:rFonts w:eastAsia="Times New Roman" w:cs="Times New Roman"/>
          <w:i/>
          <w:iCs/>
          <w:color w:val="auto"/>
          <w:szCs w:val="24"/>
          <w:lang w:val="es-CO"/>
        </w:rPr>
        <w:t>prospectación</w:t>
      </w:r>
      <w:proofErr w:type="spellEnd"/>
      <w:r w:rsidRPr="007C2E8D">
        <w:rPr>
          <w:rFonts w:eastAsia="Times New Roman" w:cs="Times New Roman"/>
          <w:i/>
          <w:iCs/>
          <w:color w:val="auto"/>
          <w:szCs w:val="24"/>
          <w:lang w:val="es-CO"/>
        </w:rPr>
        <w:t xml:space="preserve"> en las empresas industriales de transformación, de hotelería y de minería, está comprendida entre la iniciación de la empresa y la fecha en que primero ocurra uno de los siguientes hechos:</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a) Adquisición de terrenos o edificios, entendiendo por tal la fecha de la escritura correspondiente;</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b) Adquisición de los activos fijos de producción, tales como maquinaria, entendiendo por tal su entrega;</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c) Iniciación de la construcción de obras civiles o edificios.</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 xml:space="preserve">Artículo 1.2.1.19.8. Etapa de </w:t>
      </w:r>
      <w:proofErr w:type="spellStart"/>
      <w:r w:rsidRPr="007C2E8D">
        <w:rPr>
          <w:rFonts w:eastAsia="Times New Roman" w:cs="Times New Roman"/>
          <w:b/>
          <w:bCs/>
          <w:i/>
          <w:iCs/>
          <w:color w:val="auto"/>
          <w:szCs w:val="24"/>
          <w:lang w:val="es-CO"/>
        </w:rPr>
        <w:t>prospectación</w:t>
      </w:r>
      <w:proofErr w:type="spellEnd"/>
      <w:r w:rsidRPr="007C2E8D">
        <w:rPr>
          <w:rFonts w:eastAsia="Times New Roman" w:cs="Times New Roman"/>
          <w:b/>
          <w:bCs/>
          <w:i/>
          <w:iCs/>
          <w:color w:val="auto"/>
          <w:szCs w:val="24"/>
          <w:lang w:val="es-CO"/>
        </w:rPr>
        <w:t>. </w:t>
      </w:r>
      <w:r w:rsidRPr="007C2E8D">
        <w:rPr>
          <w:rFonts w:eastAsia="Times New Roman" w:cs="Times New Roman"/>
          <w:i/>
          <w:iCs/>
          <w:color w:val="auto"/>
          <w:szCs w:val="24"/>
          <w:lang w:val="es-CO"/>
        </w:rPr>
        <w:t xml:space="preserve">En la industria de la construcción y venta de inmuebles la etapa de </w:t>
      </w:r>
      <w:proofErr w:type="spellStart"/>
      <w:r w:rsidRPr="007C2E8D">
        <w:rPr>
          <w:rFonts w:eastAsia="Times New Roman" w:cs="Times New Roman"/>
          <w:i/>
          <w:iCs/>
          <w:color w:val="auto"/>
          <w:szCs w:val="24"/>
          <w:lang w:val="es-CO"/>
        </w:rPr>
        <w:t>prospectación</w:t>
      </w:r>
      <w:proofErr w:type="spellEnd"/>
      <w:r w:rsidRPr="007C2E8D">
        <w:rPr>
          <w:rFonts w:eastAsia="Times New Roman" w:cs="Times New Roman"/>
          <w:i/>
          <w:iCs/>
          <w:color w:val="auto"/>
          <w:szCs w:val="24"/>
          <w:lang w:val="es-CO"/>
        </w:rPr>
        <w:t xml:space="preserve"> terminará en la fecha en que primero ocurra uno de los siguientes hechos:</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a) Adquisición de inmuebles, maquinaria y equipo de construcción;</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b) Iniciación de la construcción de obras civiles o de las obras que sean objeto de la industria.</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Artículo 1.2.1.19.9. Etapas de construcción, instalación y montaje. </w:t>
      </w:r>
      <w:r w:rsidRPr="007C2E8D">
        <w:rPr>
          <w:rFonts w:eastAsia="Times New Roman" w:cs="Times New Roman"/>
          <w:i/>
          <w:iCs/>
          <w:color w:val="auto"/>
          <w:szCs w:val="24"/>
          <w:lang w:val="es-CO"/>
        </w:rPr>
        <w:t>Las etapas de construcción, instalación y montaje, según corresponda, están comprendidas entre la fecha de </w:t>
      </w:r>
      <w:r w:rsidRPr="007C2E8D">
        <w:rPr>
          <w:rFonts w:eastAsia="Times New Roman" w:cs="Times New Roman"/>
          <w:i/>
          <w:iCs/>
          <w:color w:val="auto"/>
          <w:szCs w:val="24"/>
          <w:u w:val="single"/>
          <w:lang w:val="es-CO"/>
        </w:rPr>
        <w:t xml:space="preserve">terminación de la etapa de </w:t>
      </w:r>
      <w:proofErr w:type="spellStart"/>
      <w:r w:rsidRPr="007C2E8D">
        <w:rPr>
          <w:rFonts w:eastAsia="Times New Roman" w:cs="Times New Roman"/>
          <w:i/>
          <w:iCs/>
          <w:color w:val="auto"/>
          <w:szCs w:val="24"/>
          <w:u w:val="single"/>
          <w:lang w:val="es-CO"/>
        </w:rPr>
        <w:t>prospectación</w:t>
      </w:r>
      <w:proofErr w:type="spellEnd"/>
      <w:r w:rsidRPr="007C2E8D">
        <w:rPr>
          <w:rFonts w:eastAsia="Times New Roman" w:cs="Times New Roman"/>
          <w:i/>
          <w:iCs/>
          <w:color w:val="auto"/>
          <w:szCs w:val="24"/>
          <w:u w:val="single"/>
          <w:lang w:val="es-CO"/>
        </w:rPr>
        <w:t xml:space="preserve"> y la fecha en que la empresa realice la primera enajenación de bienes o la primera prestación de servicios</w:t>
      </w:r>
      <w:r w:rsidRPr="007C2E8D">
        <w:rPr>
          <w:rFonts w:eastAsia="Times New Roman" w:cs="Times New Roman"/>
          <w:i/>
          <w:iCs/>
          <w:color w:val="auto"/>
          <w:szCs w:val="24"/>
          <w:lang w:val="es-CO"/>
        </w:rPr>
        <w:t>”. </w:t>
      </w:r>
      <w:r w:rsidRPr="007C2E8D">
        <w:rPr>
          <w:rFonts w:eastAsia="Times New Roman" w:cs="Times New Roman"/>
          <w:color w:val="auto"/>
          <w:szCs w:val="24"/>
          <w:lang w:val="es-CO"/>
        </w:rPr>
        <w:t>(Subrayado fuera del texto).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En virtud de lo anterior, es necesario determinar en qué momento se termina la etapa de construcción y, por ende, acaba el período improductivo de la empresa. A este respecto, el artículo 1.2.1.19.9. anteriormente citado, indica que el período improductivo se termina en la fecha en que la empresa realice la primera enajenación.</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Así las cosas, en el marco de un contrato de concesión que contemple etapas de construcción, administración, operación y mantenimiento, de los que trata el </w:t>
      </w:r>
      <w:hyperlink r:id="rId5" w:tooltip="Estatuto Tributario CETA" w:history="1">
        <w:r w:rsidRPr="007C2E8D">
          <w:rPr>
            <w:rFonts w:eastAsia="Times New Roman" w:cs="Times New Roman"/>
            <w:color w:val="auto"/>
            <w:szCs w:val="24"/>
            <w:u w:val="single"/>
            <w:lang w:val="es-CO"/>
          </w:rPr>
          <w:t>Artículo 32</w:t>
        </w:r>
      </w:hyperlink>
      <w:r w:rsidRPr="007C2E8D">
        <w:rPr>
          <w:rFonts w:eastAsia="Times New Roman" w:cs="Times New Roman"/>
          <w:color w:val="auto"/>
          <w:szCs w:val="24"/>
          <w:lang w:val="es-CO"/>
        </w:rPr>
        <w:t> del Estatuto Tributario, aplicaría la exclusión de los bienes vinculados a la empresa en período improductivo, durante la fase de construcción.</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xml:space="preserve">2- A efectos de la depuración de la renta presuntiva el concepto de “empresa en período improductivo” se considera siguiendo la normativa fiscal, con independencia del tratamiento contable y la potencial obtención de ingresos menores como rendimientos </w:t>
      </w:r>
      <w:proofErr w:type="gramStart"/>
      <w:r w:rsidRPr="007C2E8D">
        <w:rPr>
          <w:rFonts w:eastAsia="Times New Roman" w:cs="Times New Roman"/>
          <w:color w:val="auto"/>
          <w:szCs w:val="24"/>
          <w:lang w:val="es-CO"/>
        </w:rPr>
        <w:t>financieros?.</w:t>
      </w:r>
      <w:proofErr w:type="gramEnd"/>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De acuerdo con el </w:t>
      </w:r>
      <w:hyperlink r:id="rId6" w:tooltip="Estatuto Tributario CETA" w:history="1">
        <w:r w:rsidRPr="007C2E8D">
          <w:rPr>
            <w:rFonts w:eastAsia="Times New Roman" w:cs="Times New Roman"/>
            <w:color w:val="auto"/>
            <w:szCs w:val="24"/>
            <w:u w:val="single"/>
            <w:lang w:val="es-CO"/>
          </w:rPr>
          <w:t>Artículo 21-1</w:t>
        </w:r>
      </w:hyperlink>
      <w:r w:rsidRPr="007C2E8D">
        <w:rPr>
          <w:rFonts w:eastAsia="Times New Roman" w:cs="Times New Roman"/>
          <w:color w:val="auto"/>
          <w:szCs w:val="24"/>
          <w:lang w:val="es-CO"/>
        </w:rPr>
        <w:t> del Estatuto Tributario:</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w:t>
      </w:r>
      <w:r w:rsidRPr="007C2E8D">
        <w:rPr>
          <w:rFonts w:eastAsia="Times New Roman" w:cs="Times New Roman"/>
          <w:i/>
          <w:iCs/>
          <w:color w:val="auto"/>
          <w:szCs w:val="24"/>
          <w:u w:val="single"/>
          <w:lang w:val="es-CO"/>
        </w:rPr>
        <w:t>cuando la ley tributaria remita expresamente a ellas y en los casos en que esta no regule la materia. En todo caso, la ley tributaria puede disponer de forma expresa un tratamiento diferente, de conformidad con el artículo 4 de la Ley 1314 de 2009</w:t>
      </w:r>
      <w:r w:rsidRPr="007C2E8D">
        <w:rPr>
          <w:rFonts w:eastAsia="Times New Roman" w:cs="Times New Roman"/>
          <w:i/>
          <w:iCs/>
          <w:color w:val="auto"/>
          <w:szCs w:val="24"/>
          <w:lang w:val="es-CO"/>
        </w:rPr>
        <w:t>.” </w:t>
      </w:r>
      <w:r w:rsidRPr="007C2E8D">
        <w:rPr>
          <w:rFonts w:eastAsia="Times New Roman" w:cs="Times New Roman"/>
          <w:color w:val="auto"/>
          <w:szCs w:val="24"/>
          <w:lang w:val="es-CO"/>
        </w:rPr>
        <w:t>(subrayado fuera del texto)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En este sentido, el </w:t>
      </w:r>
      <w:hyperlink r:id="rId7" w:tooltip="Estatuto Tributario CETA" w:history="1">
        <w:r w:rsidRPr="007C2E8D">
          <w:rPr>
            <w:rFonts w:eastAsia="Times New Roman" w:cs="Times New Roman"/>
            <w:color w:val="auto"/>
            <w:szCs w:val="24"/>
            <w:u w:val="single"/>
            <w:lang w:val="es-CO"/>
          </w:rPr>
          <w:t>Artículo 21-1</w:t>
        </w:r>
      </w:hyperlink>
      <w:r w:rsidRPr="007C2E8D">
        <w:rPr>
          <w:rFonts w:eastAsia="Times New Roman" w:cs="Times New Roman"/>
          <w:color w:val="auto"/>
          <w:szCs w:val="24"/>
          <w:lang w:val="es-CO"/>
        </w:rPr>
        <w:t> del Estatuto Tributario establece que la normativa fiscal es la que prevalece para efectos fiscales y que la contable aplicará en el caso en que se haga una remisión expresa o no haya un tratamiento previsto.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Ahora bien, el Decreto 2235 de 27 de (sic) 2017 “Por el cual se adiciona el Capítulo 25 del Título 1 de la Parte 2 del Libro 1 del Decreto 1625 de 2016 del Decreto Único en Materia Tributaria” dispuso en el Artículo 1.2.1.25.6 adicionado lo siguiente:</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lastRenderedPageBreak/>
        <w:t>“Artículo 1.2.1.25.6 Ingresos asociados a la etapa de construcción.</w:t>
      </w:r>
      <w:r w:rsidRPr="007C2E8D">
        <w:rPr>
          <w:rFonts w:eastAsia="Times New Roman" w:cs="Times New Roman"/>
          <w:i/>
          <w:iCs/>
          <w:color w:val="auto"/>
          <w:szCs w:val="24"/>
          <w:lang w:val="es-CO"/>
        </w:rPr>
        <w:t xml:space="preserve"> Los ingresos devengados por el contribuyente del impuesto sobre la renta y </w:t>
      </w:r>
      <w:proofErr w:type="gramStart"/>
      <w:r w:rsidRPr="007C2E8D">
        <w:rPr>
          <w:rFonts w:eastAsia="Times New Roman" w:cs="Times New Roman"/>
          <w:i/>
          <w:iCs/>
          <w:color w:val="auto"/>
          <w:szCs w:val="24"/>
          <w:lang w:val="es-CO"/>
        </w:rPr>
        <w:t>complementario asociados</w:t>
      </w:r>
      <w:proofErr w:type="gramEnd"/>
      <w:r w:rsidRPr="007C2E8D">
        <w:rPr>
          <w:rFonts w:eastAsia="Times New Roman" w:cs="Times New Roman"/>
          <w:i/>
          <w:iCs/>
          <w:color w:val="auto"/>
          <w:szCs w:val="24"/>
          <w:lang w:val="es-CO"/>
        </w:rPr>
        <w:t xml:space="preserve"> a la etapa de construcción, corresponden al monto total de los costos y gastos, reconocidos como activo intangible para efectos fiscales en que hayan incurrido los contribuyentes del impuesto sobre la renta y complementarios, de conformidad con lo dispuesto en el artículo 1.2.1.25.4. de este Capítulo.</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La etapa de construcción en los contratos de concesión o Asociación Público Privada - APP se entiende cumplida a partir del momento en que se realiza entrega a satisfacción del activo intangible a la entidad competente.</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Parágrafo 1.</w:t>
      </w:r>
      <w:r w:rsidRPr="007C2E8D">
        <w:rPr>
          <w:rFonts w:eastAsia="Times New Roman" w:cs="Times New Roman"/>
          <w:i/>
          <w:iCs/>
          <w:color w:val="auto"/>
          <w:szCs w:val="24"/>
          <w:lang w:val="es-CO"/>
        </w:rPr>
        <w:t> Los ingresos que no cumplan con lo establecido en este artículo se reconocerán en el período gravable en que se realicen.</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b/>
          <w:bCs/>
          <w:i/>
          <w:iCs/>
          <w:color w:val="auto"/>
          <w:szCs w:val="24"/>
          <w:lang w:val="es-CO"/>
        </w:rPr>
        <w:t>Parágrafo 2.</w:t>
      </w:r>
      <w:r w:rsidRPr="007C2E8D">
        <w:rPr>
          <w:rFonts w:eastAsia="Times New Roman" w:cs="Times New Roman"/>
          <w:i/>
          <w:iCs/>
          <w:color w:val="auto"/>
          <w:szCs w:val="24"/>
          <w:lang w:val="es-CO"/>
        </w:rPr>
        <w:t> Los ingresos asociados a la explotación comercial de la concesión, tendrán el tratamiento general establecido en el Estatuto Tributario”.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De lo dicho se puede predicar que los ingresos por rendimientos financieros se enmarcan dentro de los ingresos que no cumplen con lo establecido en el inciso 1º del citado artículo 1.2.1.25.6, en consecuencia, tal como lo informa el parágrafo 1º se reconocerán en el período gravable en que se realicen.</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Tales ingresos, si bien no están asociados a la explotación comercial de la concesión, se rigen por el tratamiento general establecido en el Estatuto Tributario.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3- Qué ocurre cuando el contrato de concesión establece entregas materializadas en unidades funcionales o similares ¿el tratamiento de la renta presuntiva y en especial la reducción en la determinación de la misma de los bienes vinculados a empresas en período improductivo se debe establecer por unidad funcional?</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De acuerdo con la inquietud planteada, es necesario remitirse al parágrafo 4 del </w:t>
      </w:r>
      <w:hyperlink r:id="rId8" w:tooltip="Estatuto Tributario CETA" w:history="1">
        <w:r w:rsidRPr="007C2E8D">
          <w:rPr>
            <w:rFonts w:eastAsia="Times New Roman" w:cs="Times New Roman"/>
            <w:color w:val="auto"/>
            <w:szCs w:val="24"/>
            <w:u w:val="single"/>
            <w:lang w:val="es-CO"/>
          </w:rPr>
          <w:t>Artículo 32</w:t>
        </w:r>
      </w:hyperlink>
      <w:r w:rsidRPr="007C2E8D">
        <w:rPr>
          <w:rFonts w:eastAsia="Times New Roman" w:cs="Times New Roman"/>
          <w:color w:val="auto"/>
          <w:szCs w:val="24"/>
          <w:lang w:val="es-CO"/>
        </w:rPr>
        <w:t> del Estatuto Tributario, el cual prescribe:</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 </w:t>
      </w:r>
    </w:p>
    <w:p w:rsidR="007C2E8D" w:rsidRPr="007C2E8D" w:rsidRDefault="007C2E8D" w:rsidP="007C2E8D">
      <w:pPr>
        <w:spacing w:line="240" w:lineRule="auto"/>
        <w:ind w:left="180"/>
        <w:rPr>
          <w:rFonts w:eastAsia="Times New Roman" w:cs="Times New Roman"/>
          <w:color w:val="auto"/>
          <w:szCs w:val="24"/>
          <w:lang w:val="es-CO"/>
        </w:rPr>
      </w:pPr>
      <w:r w:rsidRPr="007C2E8D">
        <w:rPr>
          <w:rFonts w:eastAsia="Times New Roman" w:cs="Times New Roman"/>
          <w:i/>
          <w:iCs/>
          <w:color w:val="auto"/>
          <w:szCs w:val="24"/>
          <w:lang w:val="es-CO"/>
        </w:rPr>
        <w:t>“Si el contrato de concesión o contrato de Asociación Público Privada establece entrega por unidades funcionales, hitos o similares, se aplicarán las reglas previstas en este artículo para cada unidad funcional, hito o similar. Para los efectos de este artículo, se entenderá por hito o unidad funcional, cualquier unidad de entrega de obra que otorga derecho a pago”.</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Por lo anterior, es posible determinar que cada uno de los hitos constituye una etapa para efectos del tratamiento tributario de los contratos de concesión y asociaciones público – privadas. Lo anterior, ya que cuando se realice la entrega de uno de estos, habrá derecho a pago. Este parágrafo, leído en concordancia con el Artículo 1.2.1.19.9. del Decreto 1625 de 2016, nos dice que cuando se realice el pago por hito o unidad funcional, el período improductivo cesará y, por esto, no podrán detraerse los activos de la depuración de la renta presuntiva que trata el literal c) del </w:t>
      </w:r>
      <w:hyperlink r:id="rId9" w:tooltip="Estatuto Tributario CETA" w:history="1">
        <w:r w:rsidRPr="007C2E8D">
          <w:rPr>
            <w:rFonts w:eastAsia="Times New Roman" w:cs="Times New Roman"/>
            <w:color w:val="auto"/>
            <w:szCs w:val="24"/>
            <w:u w:val="single"/>
            <w:lang w:val="es-CO"/>
          </w:rPr>
          <w:t>Artículo 189</w:t>
        </w:r>
      </w:hyperlink>
      <w:r w:rsidRPr="007C2E8D">
        <w:rPr>
          <w:rFonts w:eastAsia="Times New Roman" w:cs="Times New Roman"/>
          <w:color w:val="auto"/>
          <w:szCs w:val="24"/>
          <w:lang w:val="es-CO"/>
        </w:rPr>
        <w:t> del Estatuto Tributario. Entonces, cada uno de los hitos o unidades, más que entenderse como una empresa, se constituye en un activo intangible o unidad de entrega que genera derecho a pago, por lo que el intangible está conformado por la totalidad de los costos y gastos incurridos durante la etapa de construcción, incluida los gastos financieros. Así se desprende del </w:t>
      </w:r>
      <w:hyperlink r:id="rId10" w:tooltip="Estatuto Tributario CETA" w:history="1">
        <w:r w:rsidRPr="007C2E8D">
          <w:rPr>
            <w:rFonts w:eastAsia="Times New Roman" w:cs="Times New Roman"/>
            <w:color w:val="auto"/>
            <w:szCs w:val="24"/>
            <w:u w:val="single"/>
            <w:lang w:val="es-CO"/>
          </w:rPr>
          <w:t>Artículo 32</w:t>
        </w:r>
      </w:hyperlink>
      <w:r w:rsidRPr="007C2E8D">
        <w:rPr>
          <w:rFonts w:eastAsia="Times New Roman" w:cs="Times New Roman"/>
          <w:color w:val="auto"/>
          <w:szCs w:val="24"/>
          <w:lang w:val="es-CO"/>
        </w:rPr>
        <w:t> del Estatuto Tributario que aplica de manera independiente para cada uno de estos hitos o unidades funcionales.</w:t>
      </w:r>
    </w:p>
    <w:p w:rsidR="007C2E8D" w:rsidRPr="007C2E8D" w:rsidRDefault="007C2E8D" w:rsidP="007C2E8D">
      <w:pPr>
        <w:spacing w:line="240" w:lineRule="auto"/>
        <w:rPr>
          <w:rFonts w:eastAsia="Times New Roman" w:cs="Times New Roman"/>
          <w:color w:val="auto"/>
          <w:szCs w:val="24"/>
          <w:lang w:val="es-CO"/>
        </w:rPr>
      </w:pPr>
    </w:p>
    <w:p w:rsidR="007C2E8D" w:rsidRPr="007C2E8D" w:rsidRDefault="007C2E8D" w:rsidP="007C2E8D">
      <w:pPr>
        <w:spacing w:line="240" w:lineRule="auto"/>
        <w:rPr>
          <w:rFonts w:eastAsia="Times New Roman" w:cs="Times New Roman"/>
          <w:color w:val="auto"/>
          <w:szCs w:val="24"/>
          <w:lang w:val="es-CO"/>
        </w:rPr>
      </w:pPr>
    </w:p>
    <w:p w:rsidR="007C2E8D" w:rsidRPr="007C2E8D" w:rsidRDefault="007C2E8D" w:rsidP="007C2E8D">
      <w:pPr>
        <w:spacing w:line="240" w:lineRule="auto"/>
        <w:rPr>
          <w:rFonts w:eastAsia="Times New Roman" w:cs="Times New Roman"/>
          <w:color w:val="auto"/>
          <w:szCs w:val="24"/>
          <w:lang w:val="es-CO"/>
        </w:rPr>
      </w:pP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En los anteriores términos se resuelve su consulta.</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lastRenderedPageBreak/>
        <w:t>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11" w:history="1">
        <w:r w:rsidRPr="007C2E8D">
          <w:rPr>
            <w:rFonts w:eastAsia="Times New Roman" w:cs="Times New Roman"/>
            <w:color w:val="auto"/>
            <w:szCs w:val="24"/>
            <w:u w:val="single"/>
            <w:lang w:val="es-CO"/>
          </w:rPr>
          <w:t>http://www.dian.gov.co</w:t>
        </w:r>
      </w:hyperlink>
      <w:r w:rsidRPr="007C2E8D">
        <w:rPr>
          <w:rFonts w:eastAsia="Times New Roman" w:cs="Times New Roman"/>
          <w:color w:val="auto"/>
          <w:szCs w:val="24"/>
          <w:lang w:val="es-CO"/>
        </w:rPr>
        <w:t> siguiendo los iconos: “Normatividad” – “Técnica” y seleccionando los vínculos “doctrina” y “Dirección de Gestión Jurídica”.</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Atentamente,</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color w:val="auto"/>
          <w:szCs w:val="24"/>
          <w:lang w:val="es-CO"/>
        </w:rPr>
        <w:t> </w:t>
      </w:r>
    </w:p>
    <w:p w:rsidR="007C2E8D" w:rsidRPr="007C2E8D" w:rsidRDefault="007C2E8D" w:rsidP="007C2E8D">
      <w:pPr>
        <w:spacing w:line="240" w:lineRule="auto"/>
        <w:rPr>
          <w:rFonts w:eastAsia="Times New Roman" w:cs="Times New Roman"/>
          <w:color w:val="auto"/>
          <w:szCs w:val="24"/>
          <w:lang w:val="es-CO"/>
        </w:rPr>
      </w:pPr>
      <w:r w:rsidRPr="007C2E8D">
        <w:rPr>
          <w:rFonts w:eastAsia="Times New Roman" w:cs="Times New Roman"/>
          <w:b/>
          <w:bCs/>
          <w:color w:val="auto"/>
          <w:szCs w:val="24"/>
          <w:lang w:val="es-CO"/>
        </w:rPr>
        <w:t>PEDRO PABLO CONTRERAS CAMARGO</w:t>
      </w:r>
    </w:p>
    <w:p w:rsidR="007C2E8D" w:rsidRPr="007C2E8D" w:rsidRDefault="007C2E8D" w:rsidP="007C2E8D">
      <w:pPr>
        <w:rPr>
          <w:rFonts w:cs="Times New Roman"/>
          <w:color w:val="auto"/>
          <w:szCs w:val="24"/>
          <w:lang w:val="es-CO"/>
        </w:rPr>
      </w:pPr>
      <w:r w:rsidRPr="007C2E8D">
        <w:rPr>
          <w:rFonts w:eastAsia="Times New Roman" w:cs="Times New Roman"/>
          <w:color w:val="auto"/>
          <w:szCs w:val="24"/>
          <w:lang w:val="es-CO"/>
        </w:rPr>
        <w:t>Subdirector de Gestión Normativa y Doctrina</w:t>
      </w:r>
    </w:p>
    <w:tbl>
      <w:tblPr>
        <w:tblW w:w="0" w:type="auto"/>
        <w:tblCellSpacing w:w="0" w:type="dxa"/>
        <w:tblCellMar>
          <w:left w:w="0" w:type="dxa"/>
          <w:right w:w="0" w:type="dxa"/>
        </w:tblCellMar>
        <w:tblLook w:val="04A0" w:firstRow="1" w:lastRow="0" w:firstColumn="1" w:lastColumn="0" w:noHBand="0" w:noVBand="1"/>
      </w:tblPr>
      <w:tblGrid>
        <w:gridCol w:w="8789"/>
      </w:tblGrid>
      <w:tr w:rsidR="007C2E8D" w:rsidRPr="007C2E8D" w:rsidTr="007C2E8D">
        <w:trPr>
          <w:tblCellSpacing w:w="0" w:type="dxa"/>
        </w:trPr>
        <w:tc>
          <w:tcPr>
            <w:tcW w:w="8789" w:type="dxa"/>
            <w:hideMark/>
          </w:tcPr>
          <w:p w:rsidR="007C2E8D" w:rsidRPr="007C2E8D" w:rsidRDefault="007C2E8D">
            <w:pPr>
              <w:rPr>
                <w:rFonts w:cs="Times New Roman"/>
                <w:color w:val="auto"/>
                <w:szCs w:val="24"/>
                <w:lang w:val="es-CO"/>
              </w:rPr>
            </w:pPr>
          </w:p>
          <w:p w:rsidR="007C2E8D" w:rsidRPr="007C2E8D" w:rsidRDefault="007C2E8D">
            <w:pPr>
              <w:rPr>
                <w:rFonts w:cs="Times New Roman"/>
                <w:color w:val="auto"/>
                <w:szCs w:val="24"/>
                <w:lang w:val="es-CO"/>
              </w:rPr>
            </w:pPr>
          </w:p>
          <w:p w:rsidR="007C2E8D" w:rsidRPr="007C2E8D" w:rsidRDefault="007C2E8D">
            <w:pPr>
              <w:rPr>
                <w:rFonts w:cs="Times New Roman"/>
                <w:color w:val="auto"/>
                <w:szCs w:val="24"/>
                <w:lang w:val="es-CO"/>
              </w:rPr>
            </w:pPr>
          </w:p>
          <w:p w:rsidR="007C2E8D" w:rsidRPr="007C2E8D" w:rsidRDefault="007C2E8D">
            <w:pPr>
              <w:rPr>
                <w:rFonts w:cs="Times New Roman"/>
                <w:color w:val="auto"/>
                <w:szCs w:val="24"/>
                <w:lang w:val="es-CO"/>
              </w:rPr>
            </w:pPr>
          </w:p>
          <w:p w:rsidR="007C2E8D" w:rsidRPr="007C2E8D" w:rsidRDefault="007C2E8D">
            <w:pPr>
              <w:rPr>
                <w:rFonts w:cs="Times New Roman"/>
                <w:color w:val="auto"/>
                <w:szCs w:val="24"/>
                <w:lang w:val="es-CO"/>
              </w:rPr>
            </w:pPr>
          </w:p>
          <w:p w:rsidR="007C2E8D" w:rsidRPr="007C2E8D" w:rsidRDefault="007C2E8D">
            <w:pPr>
              <w:rPr>
                <w:rFonts w:cs="Times New Roman"/>
                <w:color w:val="auto"/>
                <w:szCs w:val="24"/>
                <w:lang w:val="es-CO"/>
              </w:rPr>
            </w:pPr>
          </w:p>
          <w:tbl>
            <w:tblPr>
              <w:tblW w:w="11484" w:type="dxa"/>
              <w:tblCellSpacing w:w="0" w:type="dxa"/>
              <w:tblCellMar>
                <w:left w:w="0" w:type="dxa"/>
                <w:right w:w="0" w:type="dxa"/>
              </w:tblCellMar>
              <w:tblLook w:val="04A0" w:firstRow="1" w:lastRow="0" w:firstColumn="1" w:lastColumn="0" w:noHBand="0" w:noVBand="1"/>
            </w:tblPr>
            <w:tblGrid>
              <w:gridCol w:w="11484"/>
            </w:tblGrid>
            <w:tr w:rsidR="007C2E8D" w:rsidRPr="007C2E8D">
              <w:trPr>
                <w:tblCellSpacing w:w="0" w:type="dxa"/>
              </w:trPr>
              <w:tc>
                <w:tcPr>
                  <w:tcW w:w="0" w:type="auto"/>
                  <w:shd w:val="clear" w:color="auto" w:fill="FFFFFF"/>
                  <w:tcMar>
                    <w:top w:w="30" w:type="dxa"/>
                    <w:left w:w="30" w:type="dxa"/>
                    <w:bottom w:w="30" w:type="dxa"/>
                    <w:right w:w="30" w:type="dxa"/>
                  </w:tcMar>
                  <w:vAlign w:val="center"/>
                  <w:hideMark/>
                </w:tcPr>
                <w:p w:rsidR="007C2E8D" w:rsidRPr="007C2E8D" w:rsidRDefault="007C2E8D" w:rsidP="007C2E8D">
                  <w:pPr>
                    <w:spacing w:line="240" w:lineRule="auto"/>
                    <w:rPr>
                      <w:rFonts w:eastAsia="Times New Roman" w:cs="Times New Roman"/>
                      <w:color w:val="auto"/>
                      <w:szCs w:val="24"/>
                      <w:lang w:val="es-CO"/>
                    </w:rPr>
                  </w:pPr>
                </w:p>
              </w:tc>
            </w:tr>
          </w:tbl>
          <w:p w:rsidR="007C2E8D" w:rsidRPr="007C2E8D" w:rsidRDefault="007C2E8D" w:rsidP="007C2E8D">
            <w:pPr>
              <w:spacing w:line="240" w:lineRule="auto"/>
              <w:jc w:val="left"/>
              <w:rPr>
                <w:rFonts w:eastAsia="Times New Roman" w:cs="Times New Roman"/>
                <w:color w:val="auto"/>
                <w:szCs w:val="24"/>
                <w:lang w:val="es-CO"/>
              </w:rPr>
            </w:pPr>
          </w:p>
        </w:tc>
      </w:tr>
    </w:tbl>
    <w:p w:rsidR="007C2E8D" w:rsidRPr="007C2E8D" w:rsidRDefault="007C2E8D" w:rsidP="007C2E8D">
      <w:pPr>
        <w:spacing w:line="240" w:lineRule="auto"/>
        <w:jc w:val="left"/>
        <w:rPr>
          <w:rFonts w:eastAsia="Times New Roman" w:cs="Times New Roman"/>
          <w:vanish/>
          <w:color w:val="auto"/>
          <w:szCs w:val="24"/>
        </w:rPr>
      </w:pPr>
    </w:p>
    <w:tbl>
      <w:tblPr>
        <w:tblW w:w="0" w:type="auto"/>
        <w:tblCellSpacing w:w="0" w:type="dxa"/>
        <w:tblCellMar>
          <w:left w:w="0" w:type="dxa"/>
          <w:right w:w="0" w:type="dxa"/>
        </w:tblCellMar>
        <w:tblLook w:val="04A0" w:firstRow="1" w:lastRow="0" w:firstColumn="1" w:lastColumn="0" w:noHBand="0" w:noVBand="1"/>
      </w:tblPr>
      <w:tblGrid>
        <w:gridCol w:w="120"/>
      </w:tblGrid>
      <w:tr w:rsidR="007C2E8D" w:rsidRPr="007C2E8D" w:rsidTr="007C2E8D">
        <w:trPr>
          <w:trHeight w:val="444"/>
          <w:tblCellSpacing w:w="0" w:type="dxa"/>
        </w:trPr>
        <w:tc>
          <w:tcPr>
            <w:tcW w:w="96" w:type="dxa"/>
            <w:shd w:val="clear" w:color="auto" w:fill="FFFFFF"/>
            <w:hideMark/>
          </w:tcPr>
          <w:p w:rsidR="007C2E8D" w:rsidRPr="007C2E8D" w:rsidRDefault="007C2E8D" w:rsidP="007C2E8D">
            <w:pPr>
              <w:spacing w:line="240" w:lineRule="auto"/>
              <w:jc w:val="left"/>
              <w:rPr>
                <w:rFonts w:eastAsia="Times New Roman" w:cs="Times New Roman"/>
                <w:color w:val="auto"/>
                <w:szCs w:val="24"/>
              </w:rPr>
            </w:pPr>
            <w:r w:rsidRPr="007C2E8D">
              <w:rPr>
                <w:rFonts w:eastAsia="Times New Roman" w:cs="Times New Roman"/>
                <w:noProof/>
                <w:color w:val="auto"/>
                <w:szCs w:val="24"/>
              </w:rPr>
              <mc:AlternateContent>
                <mc:Choice Requires="wps">
                  <w:drawing>
                    <wp:inline distT="0" distB="0" distL="0" distR="0" wp14:anchorId="27517136" wp14:editId="7A70DF0F">
                      <wp:extent cx="76200" cy="7620"/>
                      <wp:effectExtent l="0" t="0" r="0" b="0"/>
                      <wp:docPr id="4" name="AutoShape 4" descr="https://www.ceta.org.co/assets/images/autogen/clearpixe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E83C4" id="AutoShape 4" o:spid="_x0000_s1026" alt="https://www.ceta.org.co/assets/images/autogen/clearpixel.gif"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" filled="f" stroked="f">
                      <o:lock v:ext="edit" aspectratio="t"/>
                      <w10:anchorlock/>
                    </v:rect>
                  </w:pict>
                </mc:Fallback>
              </mc:AlternateContent>
            </w:r>
          </w:p>
          <w:p w:rsidR="007C2E8D" w:rsidRPr="007C2E8D" w:rsidRDefault="007C2E8D" w:rsidP="007C2E8D">
            <w:pPr>
              <w:spacing w:line="240" w:lineRule="auto"/>
              <w:jc w:val="left"/>
              <w:rPr>
                <w:rFonts w:eastAsia="Times New Roman" w:cs="Times New Roman"/>
                <w:color w:val="auto"/>
                <w:szCs w:val="24"/>
              </w:rPr>
            </w:pPr>
            <w:r w:rsidRPr="007C2E8D">
              <w:rPr>
                <w:rFonts w:eastAsia="Times New Roman" w:cs="Times New Roman"/>
                <w:color w:val="auto"/>
                <w:szCs w:val="24"/>
              </w:rPr>
              <w:br/>
            </w:r>
          </w:p>
        </w:tc>
      </w:tr>
    </w:tbl>
    <w:p w:rsidR="00147980" w:rsidRPr="007C2E8D" w:rsidRDefault="00147980">
      <w:pPr>
        <w:rPr>
          <w:rFonts w:cs="Times New Roman"/>
          <w:color w:val="auto"/>
          <w:szCs w:val="24"/>
        </w:rPr>
      </w:pPr>
    </w:p>
    <w:sectPr w:rsidR="00147980" w:rsidRPr="007C2E8D"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8D"/>
    <w:rsid w:val="00147980"/>
    <w:rsid w:val="001A5F47"/>
    <w:rsid w:val="007C2E8D"/>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7538"/>
  <w15:chartTrackingRefBased/>
  <w15:docId w15:val="{50980CDD-42CD-4F3E-AD76-1934BD27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060">
      <w:bodyDiv w:val="1"/>
      <w:marLeft w:val="0"/>
      <w:marRight w:val="0"/>
      <w:marTop w:val="0"/>
      <w:marBottom w:val="0"/>
      <w:divBdr>
        <w:top w:val="none" w:sz="0" w:space="0" w:color="auto"/>
        <w:left w:val="none" w:sz="0" w:space="0" w:color="auto"/>
        <w:bottom w:val="none" w:sz="0" w:space="0" w:color="auto"/>
        <w:right w:val="none" w:sz="0" w:space="0" w:color="auto"/>
      </w:divBdr>
    </w:div>
    <w:div w:id="927807908">
      <w:bodyDiv w:val="1"/>
      <w:marLeft w:val="0"/>
      <w:marRight w:val="0"/>
      <w:marTop w:val="0"/>
      <w:marBottom w:val="0"/>
      <w:divBdr>
        <w:top w:val="none" w:sz="0" w:space="0" w:color="auto"/>
        <w:left w:val="none" w:sz="0" w:space="0" w:color="auto"/>
        <w:bottom w:val="none" w:sz="0" w:space="0" w:color="auto"/>
        <w:right w:val="none" w:sz="0" w:space="0" w:color="auto"/>
      </w:divBdr>
    </w:div>
    <w:div w:id="1185705442">
      <w:bodyDiv w:val="1"/>
      <w:marLeft w:val="0"/>
      <w:marRight w:val="0"/>
      <w:marTop w:val="0"/>
      <w:marBottom w:val="0"/>
      <w:divBdr>
        <w:top w:val="none" w:sz="0" w:space="0" w:color="auto"/>
        <w:left w:val="none" w:sz="0" w:space="0" w:color="auto"/>
        <w:bottom w:val="none" w:sz="0" w:space="0" w:color="auto"/>
        <w:right w:val="none" w:sz="0" w:space="0" w:color="auto"/>
      </w:divBdr>
    </w:div>
    <w:div w:id="12027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24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470" TargetMode="External"/><Relationship Id="rId11" Type="http://schemas.openxmlformats.org/officeDocument/2006/relationships/hyperlink" Target="http://www.dian.gov.co/" TargetMode="External"/><Relationship Id="rId5" Type="http://schemas.openxmlformats.org/officeDocument/2006/relationships/hyperlink" Target="https://www.ceta.org.co/html/vista_de_un_articulo.asp?Norma=62" TargetMode="External"/><Relationship Id="rId10" Type="http://schemas.openxmlformats.org/officeDocument/2006/relationships/hyperlink" Target="https://www.ceta.org.co/html/vista_de_un_articulo.asp?Norma=62" TargetMode="External"/><Relationship Id="rId4" Type="http://schemas.openxmlformats.org/officeDocument/2006/relationships/hyperlink" Target="https://www.ceta.org.co/html/vista_de_un_articulo.asp?Norma=254" TargetMode="External"/><Relationship Id="rId9" Type="http://schemas.openxmlformats.org/officeDocument/2006/relationships/hyperlink" Target="https://www.ceta.org.co/html/vista_de_un_articulo.asp?Norma=2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1483</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2018-09-22T15:02:00Z</dcterms:created>
  <dcterms:modified xsi:type="dcterms:W3CDTF">2018-09-22T15:05:00Z</dcterms:modified>
</cp:coreProperties>
</file>