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D2E" w:rsidRPr="002B3D2E" w:rsidRDefault="002B3D2E" w:rsidP="002B3D2E">
      <w:pPr>
        <w:spacing w:line="240" w:lineRule="auto"/>
        <w:jc w:val="center"/>
        <w:rPr>
          <w:rFonts w:eastAsia="Times New Roman" w:cs="Times New Roman"/>
          <w:color w:val="auto"/>
          <w:szCs w:val="24"/>
          <w:lang w:val="es-CO"/>
        </w:rPr>
      </w:pPr>
      <w:r w:rsidRPr="002B3D2E">
        <w:rPr>
          <w:rFonts w:eastAsia="Times New Roman" w:cs="Times New Roman"/>
          <w:b/>
          <w:bCs/>
          <w:color w:val="auto"/>
          <w:szCs w:val="24"/>
          <w:lang w:val="es-CO"/>
        </w:rPr>
        <w:br/>
        <w:t>OFICIO Nº 008230</w:t>
      </w:r>
    </w:p>
    <w:p w:rsidR="002B3D2E" w:rsidRPr="002B3D2E" w:rsidRDefault="002B3D2E" w:rsidP="002B3D2E">
      <w:pPr>
        <w:spacing w:line="240" w:lineRule="auto"/>
        <w:jc w:val="center"/>
        <w:rPr>
          <w:rFonts w:eastAsia="Times New Roman" w:cs="Times New Roman"/>
          <w:color w:val="auto"/>
          <w:szCs w:val="24"/>
          <w:lang w:val="es-CO"/>
        </w:rPr>
      </w:pPr>
      <w:r w:rsidRPr="002B3D2E">
        <w:rPr>
          <w:rFonts w:eastAsia="Times New Roman" w:cs="Times New Roman"/>
          <w:b/>
          <w:bCs/>
          <w:color w:val="auto"/>
          <w:szCs w:val="24"/>
          <w:lang w:val="es-CO"/>
        </w:rPr>
        <w:t>04-04-2018</w:t>
      </w:r>
    </w:p>
    <w:p w:rsidR="002B3D2E" w:rsidRPr="002B3D2E" w:rsidRDefault="002B3D2E" w:rsidP="002B3D2E">
      <w:pPr>
        <w:spacing w:line="240" w:lineRule="auto"/>
        <w:jc w:val="center"/>
        <w:rPr>
          <w:rFonts w:eastAsia="Times New Roman" w:cs="Times New Roman"/>
          <w:color w:val="auto"/>
          <w:szCs w:val="24"/>
          <w:lang w:val="es-CO"/>
        </w:rPr>
      </w:pPr>
      <w:r w:rsidRPr="002B3D2E">
        <w:rPr>
          <w:rFonts w:eastAsia="Times New Roman" w:cs="Times New Roman"/>
          <w:b/>
          <w:bCs/>
          <w:color w:val="auto"/>
          <w:szCs w:val="24"/>
          <w:lang w:val="es-CO"/>
        </w:rPr>
        <w:t>DIAN</w:t>
      </w:r>
    </w:p>
    <w:p w:rsidR="002B3D2E" w:rsidRPr="002B3D2E" w:rsidRDefault="002B3D2E" w:rsidP="002B3D2E">
      <w:pPr>
        <w:spacing w:line="240" w:lineRule="auto"/>
        <w:jc w:val="center"/>
        <w:rPr>
          <w:rFonts w:eastAsia="Times New Roman" w:cs="Times New Roman"/>
          <w:color w:val="auto"/>
          <w:szCs w:val="24"/>
          <w:lang w:val="es-CO"/>
        </w:rPr>
      </w:pP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Dirección de Gestión Jurídica</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Bogotá, D.C.</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100202208- 0350</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Señor</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ANDI</w:t>
      </w:r>
    </w:p>
    <w:p w:rsidR="002B3D2E" w:rsidRPr="002B3D2E" w:rsidRDefault="002B3D2E" w:rsidP="002B3D2E">
      <w:pPr>
        <w:spacing w:line="240" w:lineRule="auto"/>
        <w:rPr>
          <w:rFonts w:eastAsia="Times New Roman" w:cs="Times New Roman"/>
          <w:color w:val="auto"/>
          <w:szCs w:val="24"/>
          <w:lang w:val="es-CO"/>
        </w:rPr>
      </w:pPr>
      <w:proofErr w:type="spellStart"/>
      <w:r w:rsidRPr="002B3D2E">
        <w:rPr>
          <w:rFonts w:eastAsia="Times New Roman" w:cs="Times New Roman"/>
          <w:color w:val="auto"/>
          <w:szCs w:val="24"/>
          <w:lang w:val="es-CO"/>
        </w:rPr>
        <w:t>Maria</w:t>
      </w:r>
      <w:proofErr w:type="spellEnd"/>
      <w:r w:rsidRPr="002B3D2E">
        <w:rPr>
          <w:rFonts w:eastAsia="Times New Roman" w:cs="Times New Roman"/>
          <w:color w:val="auto"/>
          <w:szCs w:val="24"/>
          <w:lang w:val="es-CO"/>
        </w:rPr>
        <w:t xml:space="preserve"> Mercedes Vélez Penagos</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Jefe Área Derecho Tributario</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Calle 73 No 8-13 Piso 7 Torre A</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Bogotá</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proofErr w:type="spellStart"/>
      <w:r w:rsidRPr="002B3D2E">
        <w:rPr>
          <w:rFonts w:eastAsia="Times New Roman" w:cs="Times New Roman"/>
          <w:b/>
          <w:bCs/>
          <w:color w:val="auto"/>
          <w:szCs w:val="24"/>
          <w:lang w:val="es-CO"/>
        </w:rPr>
        <w:t>Ref</w:t>
      </w:r>
      <w:proofErr w:type="spellEnd"/>
      <w:r w:rsidRPr="002B3D2E">
        <w:rPr>
          <w:rFonts w:eastAsia="Times New Roman" w:cs="Times New Roman"/>
          <w:b/>
          <w:bCs/>
          <w:color w:val="auto"/>
          <w:szCs w:val="24"/>
          <w:lang w:val="es-CO"/>
        </w:rPr>
        <w:t>:</w:t>
      </w:r>
      <w:r w:rsidRPr="002B3D2E">
        <w:rPr>
          <w:rFonts w:eastAsia="Times New Roman" w:cs="Times New Roman"/>
          <w:color w:val="auto"/>
          <w:szCs w:val="24"/>
          <w:lang w:val="es-CO"/>
        </w:rPr>
        <w:t> Radicado 744 del 17/04/2017</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Mediante el radicado de la referencia el consultante formula las siguientes preguntas:</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i/>
          <w:iCs/>
          <w:color w:val="auto"/>
          <w:szCs w:val="24"/>
          <w:lang w:val="es-CO"/>
        </w:rPr>
        <w:t>1. ¿Diferencia en cambio para el efectivo: Debería entenderse siempre realizado y permitirse a TRM de cierre, ya que se presentan inconvenientes por las distintas entradas y salidas de divisas, que estarían a distintas tasas, lo que en la práctica haría que se lleve una especie de “</w:t>
      </w:r>
      <w:proofErr w:type="spellStart"/>
      <w:r w:rsidRPr="002B3D2E">
        <w:rPr>
          <w:rFonts w:eastAsia="Times New Roman" w:cs="Times New Roman"/>
          <w:i/>
          <w:iCs/>
          <w:color w:val="auto"/>
          <w:szCs w:val="24"/>
          <w:lang w:val="es-CO"/>
        </w:rPr>
        <w:t>Kárdex</w:t>
      </w:r>
      <w:proofErr w:type="spellEnd"/>
      <w:r w:rsidRPr="002B3D2E">
        <w:rPr>
          <w:rFonts w:eastAsia="Times New Roman" w:cs="Times New Roman"/>
          <w:i/>
          <w:iCs/>
          <w:color w:val="auto"/>
          <w:szCs w:val="24"/>
          <w:lang w:val="es-CO"/>
        </w:rPr>
        <w:t xml:space="preserve"> de efectivo”, por tanto, consideramos que el efectivo debe considerarse siempre realizado y poder manejar la TRM de </w:t>
      </w:r>
      <w:proofErr w:type="gramStart"/>
      <w:r w:rsidRPr="002B3D2E">
        <w:rPr>
          <w:rFonts w:eastAsia="Times New Roman" w:cs="Times New Roman"/>
          <w:i/>
          <w:iCs/>
          <w:color w:val="auto"/>
          <w:szCs w:val="24"/>
          <w:lang w:val="es-CO"/>
        </w:rPr>
        <w:t>cierre?.</w:t>
      </w:r>
      <w:proofErr w:type="gramEnd"/>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Actualmente, para efectos fiscales, el tratamiento que se le debe dar a la diferencia en cambio es el previsto en el </w:t>
      </w:r>
      <w:hyperlink r:id="rId4" w:tooltip="Estatuto Tributario CETA" w:history="1">
        <w:r w:rsidRPr="002B3D2E">
          <w:rPr>
            <w:rFonts w:eastAsia="Times New Roman" w:cs="Times New Roman"/>
            <w:color w:val="auto"/>
            <w:szCs w:val="24"/>
            <w:u w:val="single"/>
            <w:lang w:val="es-CO"/>
          </w:rPr>
          <w:t>artículo 288</w:t>
        </w:r>
      </w:hyperlink>
      <w:r w:rsidRPr="002B3D2E">
        <w:rPr>
          <w:rFonts w:eastAsia="Times New Roman" w:cs="Times New Roman"/>
          <w:color w:val="auto"/>
          <w:szCs w:val="24"/>
          <w:lang w:val="es-CO"/>
        </w:rPr>
        <w:t> del Estatuto Tributario, adicionado por el artículo 123 de la Ley 1819 de 2016. No obstante, la norma no señala un procedimiento específico, por lo cual el contribuyente está en la libertad de utilizar el que más se ajuste a las características de las transacciones realizadas en moneda extranjera.</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5B1EA0" w:rsidRDefault="002B3D2E" w:rsidP="002B3D2E">
      <w:pPr>
        <w:spacing w:line="240" w:lineRule="auto"/>
        <w:rPr>
          <w:rFonts w:eastAsia="Times New Roman" w:cs="Times New Roman"/>
          <w:b/>
          <w:color w:val="auto"/>
          <w:szCs w:val="24"/>
          <w:lang w:val="es-CO"/>
        </w:rPr>
      </w:pPr>
      <w:r w:rsidRPr="005B1EA0">
        <w:rPr>
          <w:rFonts w:eastAsia="Times New Roman" w:cs="Times New Roman"/>
          <w:b/>
          <w:color w:val="auto"/>
          <w:szCs w:val="24"/>
          <w:lang w:val="es-CO"/>
        </w:rPr>
        <w:t>En todo caso el Gobierno Nacional se encuentra revisando la norma para la respectiva reglamentación</w:t>
      </w:r>
    </w:p>
    <w:p w:rsidR="002B3D2E" w:rsidRPr="005B1EA0" w:rsidRDefault="002B3D2E" w:rsidP="002B3D2E">
      <w:pPr>
        <w:spacing w:line="240" w:lineRule="auto"/>
        <w:rPr>
          <w:rFonts w:eastAsia="Times New Roman" w:cs="Times New Roman"/>
          <w:b/>
          <w:color w:val="auto"/>
          <w:szCs w:val="24"/>
          <w:lang w:val="es-CO"/>
        </w:rPr>
      </w:pPr>
      <w:r w:rsidRPr="005B1EA0">
        <w:rPr>
          <w:rFonts w:eastAsia="Times New Roman" w:cs="Times New Roman"/>
          <w:b/>
          <w:bCs/>
          <w:i/>
          <w:iCs/>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i/>
          <w:iCs/>
          <w:color w:val="auto"/>
          <w:szCs w:val="24"/>
          <w:lang w:val="es-CO"/>
        </w:rPr>
        <w:t>2. ¿Facturación e IVA frente a NIIF: Especialmente en el tema de prestación de servicios, a la luz del </w:t>
      </w:r>
      <w:hyperlink r:id="rId5" w:tooltip="Estatuto Tributario CETA" w:history="1">
        <w:r w:rsidRPr="002B3D2E">
          <w:rPr>
            <w:rFonts w:eastAsia="Times New Roman" w:cs="Times New Roman"/>
            <w:i/>
            <w:iCs/>
            <w:color w:val="auto"/>
            <w:szCs w:val="24"/>
            <w:u w:val="single"/>
            <w:lang w:val="es-CO"/>
          </w:rPr>
          <w:t>artículo 429</w:t>
        </w:r>
      </w:hyperlink>
      <w:r w:rsidRPr="002B3D2E">
        <w:rPr>
          <w:rFonts w:eastAsia="Times New Roman" w:cs="Times New Roman"/>
          <w:i/>
          <w:iCs/>
          <w:color w:val="auto"/>
          <w:szCs w:val="24"/>
          <w:lang w:val="es-CO"/>
        </w:rPr>
        <w:t xml:space="preserve"> literal c, el IVA se causa en la fecha de emisión de factura, terminación de servicios, o del pago o abono en cuenta, lo que fuera anterior. Se pregunta entonces si el abono en cuenta equivale a la causación o devengo del ingreso, toda vez, </w:t>
      </w:r>
      <w:proofErr w:type="gramStart"/>
      <w:r w:rsidRPr="002B3D2E">
        <w:rPr>
          <w:rFonts w:eastAsia="Times New Roman" w:cs="Times New Roman"/>
          <w:i/>
          <w:iCs/>
          <w:color w:val="auto"/>
          <w:szCs w:val="24"/>
          <w:lang w:val="es-CO"/>
        </w:rPr>
        <w:t>que</w:t>
      </w:r>
      <w:proofErr w:type="gramEnd"/>
      <w:r w:rsidRPr="002B3D2E">
        <w:rPr>
          <w:rFonts w:eastAsia="Times New Roman" w:cs="Times New Roman"/>
          <w:i/>
          <w:iCs/>
          <w:color w:val="auto"/>
          <w:szCs w:val="24"/>
          <w:lang w:val="es-CO"/>
        </w:rPr>
        <w:t xml:space="preserve"> por ejemplo, cuando se hace liquidación parcial </w:t>
      </w:r>
      <w:bookmarkStart w:id="0" w:name="_GoBack"/>
      <w:bookmarkEnd w:id="0"/>
      <w:r w:rsidRPr="002B3D2E">
        <w:rPr>
          <w:rFonts w:eastAsia="Times New Roman" w:cs="Times New Roman"/>
          <w:i/>
          <w:iCs/>
          <w:color w:val="auto"/>
          <w:szCs w:val="24"/>
          <w:lang w:val="es-CO"/>
        </w:rPr>
        <w:t xml:space="preserve">de obra en muchos servicios bajo NIIF, hay devengo del </w:t>
      </w:r>
      <w:r w:rsidRPr="002B3D2E">
        <w:rPr>
          <w:rFonts w:eastAsia="Times New Roman" w:cs="Times New Roman"/>
          <w:i/>
          <w:iCs/>
          <w:color w:val="auto"/>
          <w:szCs w:val="24"/>
          <w:lang w:val="es-CO"/>
        </w:rPr>
        <w:lastRenderedPageBreak/>
        <w:t>ingreso por cumplir los criterios de reconocimiento y medición establecidos en la norma contable. ¿Deberá entonces causarse también el IVA cada que exista avance de obra?</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El </w:t>
      </w:r>
      <w:hyperlink r:id="rId6" w:tooltip="Estatuto Tributario CETA" w:history="1">
        <w:r w:rsidRPr="002B3D2E">
          <w:rPr>
            <w:rFonts w:eastAsia="Times New Roman" w:cs="Times New Roman"/>
            <w:color w:val="auto"/>
            <w:szCs w:val="24"/>
            <w:u w:val="single"/>
            <w:lang w:val="es-CO"/>
          </w:rPr>
          <w:t>artículo 420</w:t>
        </w:r>
      </w:hyperlink>
      <w:r w:rsidRPr="002B3D2E">
        <w:rPr>
          <w:rFonts w:eastAsia="Times New Roman" w:cs="Times New Roman"/>
          <w:color w:val="auto"/>
          <w:szCs w:val="24"/>
          <w:lang w:val="es-CO"/>
        </w:rPr>
        <w:t> ET, establece el hecho generador del impuesto a las ventas en la prestación de servicios como se indica:</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b/>
          <w:bCs/>
          <w:color w:val="auto"/>
          <w:szCs w:val="24"/>
          <w:lang w:val="es-CO"/>
        </w:rPr>
        <w:t>“</w:t>
      </w:r>
      <w:hyperlink r:id="rId7" w:tooltip="Estatuto Tributario CETA" w:history="1">
        <w:r w:rsidRPr="002B3D2E">
          <w:rPr>
            <w:rFonts w:eastAsia="Times New Roman" w:cs="Times New Roman"/>
            <w:b/>
            <w:bCs/>
            <w:color w:val="auto"/>
            <w:szCs w:val="24"/>
            <w:u w:val="single"/>
            <w:lang w:val="es-CO"/>
          </w:rPr>
          <w:t>ARTÍCULO 420</w:t>
        </w:r>
      </w:hyperlink>
      <w:r w:rsidRPr="002B3D2E">
        <w:rPr>
          <w:rFonts w:eastAsia="Times New Roman" w:cs="Times New Roman"/>
          <w:b/>
          <w:bCs/>
          <w:color w:val="auto"/>
          <w:szCs w:val="24"/>
          <w:lang w:val="es-CO"/>
        </w:rPr>
        <w:t>. HECHOS SOBRE LOS QUE RECAE EL IMPUESTO.</w:t>
      </w:r>
      <w:r w:rsidRPr="002B3D2E">
        <w:rPr>
          <w:rFonts w:eastAsia="Times New Roman" w:cs="Times New Roman"/>
          <w:color w:val="auto"/>
          <w:szCs w:val="24"/>
          <w:lang w:val="es-CO"/>
        </w:rPr>
        <w:t> </w:t>
      </w:r>
      <w:r w:rsidRPr="002B3D2E">
        <w:rPr>
          <w:rFonts w:eastAsia="Times New Roman" w:cs="Times New Roman"/>
          <w:i/>
          <w:iCs/>
          <w:color w:val="auto"/>
          <w:szCs w:val="24"/>
          <w:lang w:val="es-CO"/>
        </w:rPr>
        <w:t>(Artículo modificado por el artículo 173 de la Ley 1819 de 29 de diciembre de 2016). El impuesto a las ventas se aplicará sobre</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i/>
          <w:iCs/>
          <w:color w:val="auto"/>
          <w:szCs w:val="24"/>
          <w:lang w:val="es-CO"/>
        </w:rPr>
        <w:t> </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i/>
          <w:iCs/>
          <w:color w:val="auto"/>
          <w:szCs w:val="24"/>
          <w:lang w:val="es-CO"/>
        </w:rPr>
        <w:t>…..</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i/>
          <w:iCs/>
          <w:color w:val="auto"/>
          <w:szCs w:val="24"/>
          <w:lang w:val="es-CO"/>
        </w:rPr>
        <w:t>c. La prestación de servicios en el territorio nacional, o desde el exterior, con excepción de los expresamente excluidos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xml:space="preserve">Respecto a la </w:t>
      </w:r>
      <w:proofErr w:type="spellStart"/>
      <w:r w:rsidRPr="002B3D2E">
        <w:rPr>
          <w:rFonts w:eastAsia="Times New Roman" w:cs="Times New Roman"/>
          <w:color w:val="auto"/>
          <w:szCs w:val="24"/>
          <w:lang w:val="es-CO"/>
        </w:rPr>
        <w:t>causación</w:t>
      </w:r>
      <w:proofErr w:type="spellEnd"/>
      <w:r w:rsidRPr="002B3D2E">
        <w:rPr>
          <w:rFonts w:eastAsia="Times New Roman" w:cs="Times New Roman"/>
          <w:color w:val="auto"/>
          <w:szCs w:val="24"/>
          <w:lang w:val="es-CO"/>
        </w:rPr>
        <w:t xml:space="preserve"> del impuesto, el literal c) del </w:t>
      </w:r>
      <w:hyperlink r:id="rId8" w:tooltip="Estatuto Tributario CETA" w:history="1">
        <w:r w:rsidRPr="002B3D2E">
          <w:rPr>
            <w:rFonts w:eastAsia="Times New Roman" w:cs="Times New Roman"/>
            <w:color w:val="auto"/>
            <w:szCs w:val="24"/>
            <w:u w:val="single"/>
            <w:lang w:val="es-CO"/>
          </w:rPr>
          <w:t>artículo 429</w:t>
        </w:r>
      </w:hyperlink>
      <w:r w:rsidRPr="002B3D2E">
        <w:rPr>
          <w:rFonts w:eastAsia="Times New Roman" w:cs="Times New Roman"/>
          <w:color w:val="auto"/>
          <w:szCs w:val="24"/>
          <w:lang w:val="es-CO"/>
        </w:rPr>
        <w:t> del E.T. establece que en la prestación de servicios, el IVA se causa: a) en la </w:t>
      </w:r>
      <w:r w:rsidRPr="002B3D2E">
        <w:rPr>
          <w:rFonts w:eastAsia="Times New Roman" w:cs="Times New Roman"/>
          <w:color w:val="auto"/>
          <w:szCs w:val="24"/>
          <w:u w:val="single"/>
          <w:lang w:val="es-CO"/>
        </w:rPr>
        <w:t>fecha de emisión de la factura</w:t>
      </w:r>
      <w:r w:rsidRPr="002B3D2E">
        <w:rPr>
          <w:rFonts w:eastAsia="Times New Roman" w:cs="Times New Roman"/>
          <w:color w:val="auto"/>
          <w:szCs w:val="24"/>
          <w:lang w:val="es-CO"/>
        </w:rPr>
        <w:t> o documento equivalente, b) </w:t>
      </w:r>
      <w:r w:rsidRPr="002B3D2E">
        <w:rPr>
          <w:rFonts w:eastAsia="Times New Roman" w:cs="Times New Roman"/>
          <w:color w:val="auto"/>
          <w:szCs w:val="24"/>
          <w:u w:val="single"/>
          <w:lang w:val="es-CO"/>
        </w:rPr>
        <w:t>o en la fecha de terminación de los servicios</w:t>
      </w:r>
      <w:r w:rsidRPr="002B3D2E">
        <w:rPr>
          <w:rFonts w:eastAsia="Times New Roman" w:cs="Times New Roman"/>
          <w:color w:val="auto"/>
          <w:szCs w:val="24"/>
          <w:lang w:val="es-CO"/>
        </w:rPr>
        <w:t> c) o del </w:t>
      </w:r>
      <w:r w:rsidRPr="002B3D2E">
        <w:rPr>
          <w:rFonts w:eastAsia="Times New Roman" w:cs="Times New Roman"/>
          <w:color w:val="auto"/>
          <w:szCs w:val="24"/>
          <w:u w:val="single"/>
          <w:lang w:val="es-CO"/>
        </w:rPr>
        <w:t>pago o abono en cuenta</w:t>
      </w:r>
      <w:r w:rsidRPr="002B3D2E">
        <w:rPr>
          <w:rFonts w:eastAsia="Times New Roman" w:cs="Times New Roman"/>
          <w:color w:val="auto"/>
          <w:szCs w:val="24"/>
          <w:lang w:val="es-CO"/>
        </w:rPr>
        <w:t>, la que fuere anterior.</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xml:space="preserve">Así las cosas y en los términos que plantea su consulta, con la liquidación parcial de obra se configura el hecho generador del impuesto a las ventas, dado que se efectúa el abono en cuenta, uno de los momentos de causación del impuesto, en </w:t>
      </w:r>
      <w:proofErr w:type="gramStart"/>
      <w:r w:rsidRPr="002B3D2E">
        <w:rPr>
          <w:rFonts w:eastAsia="Times New Roman" w:cs="Times New Roman"/>
          <w:color w:val="auto"/>
          <w:szCs w:val="24"/>
          <w:lang w:val="es-CO"/>
        </w:rPr>
        <w:t>consecuencia</w:t>
      </w:r>
      <w:proofErr w:type="gramEnd"/>
      <w:r w:rsidRPr="002B3D2E">
        <w:rPr>
          <w:rFonts w:eastAsia="Times New Roman" w:cs="Times New Roman"/>
          <w:color w:val="auto"/>
          <w:szCs w:val="24"/>
          <w:lang w:val="es-CO"/>
        </w:rPr>
        <w:t xml:space="preserve"> se debe reconocer el IVA generado.</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3. </w:t>
      </w:r>
      <w:r w:rsidRPr="002B3D2E">
        <w:rPr>
          <w:rFonts w:eastAsia="Times New Roman" w:cs="Times New Roman"/>
          <w:color w:val="auto"/>
          <w:szCs w:val="24"/>
          <w:lang w:val="es-CO"/>
        </w:rPr>
        <w:t>El consultante pone de presente el Parágrafo 2 del artículo 135 Ley 1819 de 2016, en donde manifiesta que: </w:t>
      </w:r>
      <w:r w:rsidRPr="002B3D2E">
        <w:rPr>
          <w:rFonts w:eastAsia="Times New Roman" w:cs="Times New Roman"/>
          <w:i/>
          <w:iCs/>
          <w:color w:val="auto"/>
          <w:szCs w:val="24"/>
          <w:lang w:val="es-CO"/>
        </w:rPr>
        <w:t>La literalidad de esta norma implica que, si la factura es posterior a la realización del costo o deducción, este se puede solicitar para efectos fiscales, sin necesidad de esperar la factura. Cuando sucede lo contrario, es decir que la factura precede a la realización, ¿Tendrá el contribuyente la obligación de registrar el costo o deducción con la factura o se respetará la realización del costo o deducción posteriormente que coincide con la realidad económica y con los nuevos marcos técnicos normativos?</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Antes de proceder a su respuesta, es importante resaltar que en la exposición de motivos del Proyecto Ley 178/2016 Cámara y 163/2016 Senado, estableció</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i/>
          <w:iCs/>
          <w:color w:val="auto"/>
          <w:szCs w:val="24"/>
          <w:lang w:val="es-CO"/>
        </w:rPr>
        <w:t> </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i/>
          <w:iCs/>
          <w:color w:val="auto"/>
          <w:szCs w:val="24"/>
          <w:lang w:val="es-CO"/>
        </w:rPr>
        <w:t>“Adiciónese un parágrafo al </w:t>
      </w:r>
      <w:hyperlink r:id="rId9" w:tooltip="Estatuto Tributario CETA" w:history="1">
        <w:r w:rsidRPr="002B3D2E">
          <w:rPr>
            <w:rFonts w:eastAsia="Times New Roman" w:cs="Times New Roman"/>
            <w:i/>
            <w:iCs/>
            <w:color w:val="auto"/>
            <w:szCs w:val="24"/>
            <w:u w:val="single"/>
            <w:lang w:val="es-CO"/>
          </w:rPr>
          <w:t>artículo 771-2</w:t>
        </w:r>
      </w:hyperlink>
      <w:r w:rsidRPr="002B3D2E">
        <w:rPr>
          <w:rFonts w:eastAsia="Times New Roman" w:cs="Times New Roman"/>
          <w:i/>
          <w:iCs/>
          <w:color w:val="auto"/>
          <w:szCs w:val="24"/>
          <w:lang w:val="es-CO"/>
        </w:rPr>
        <w:t> del Estatuto Tributario, el cual quedará así. En la actualidad, existen costos y gastos que se incurren en un año gravable pero el documento de soporte de la operación (factura o documento equivalente) se expide en una fecha posterior que podría ser al año siguiente. </w:t>
      </w:r>
      <w:r w:rsidRPr="002B3D2E">
        <w:rPr>
          <w:rFonts w:eastAsia="Times New Roman" w:cs="Times New Roman"/>
          <w:i/>
          <w:iCs/>
          <w:color w:val="auto"/>
          <w:szCs w:val="24"/>
          <w:u w:val="single"/>
          <w:lang w:val="es-CO"/>
        </w:rPr>
        <w:t>Este artículo tiene por objeto permitir el costo o la deducción en el año o período gravable en que se efectuaron, siempre y cuando el contribuyente acredite que la prestación del servicio o la entrega del bien se efectuó en el año o período gravable</w:t>
      </w:r>
      <w:proofErr w:type="gramStart"/>
      <w:r w:rsidRPr="002B3D2E">
        <w:rPr>
          <w:rFonts w:eastAsia="Times New Roman" w:cs="Times New Roman"/>
          <w:i/>
          <w:iCs/>
          <w:color w:val="auto"/>
          <w:szCs w:val="24"/>
          <w:lang w:val="es-CO"/>
        </w:rPr>
        <w:t> ..</w:t>
      </w:r>
      <w:proofErr w:type="gramEnd"/>
      <w:r w:rsidRPr="002B3D2E">
        <w:rPr>
          <w:rFonts w:eastAsia="Times New Roman" w:cs="Times New Roman"/>
          <w:i/>
          <w:iCs/>
          <w:color w:val="auto"/>
          <w:szCs w:val="24"/>
          <w:lang w:val="es-CO"/>
        </w:rPr>
        <w:t>”</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A su vez los artículos </w:t>
      </w:r>
      <w:hyperlink r:id="rId10" w:tooltip="Estatuto Tributario CETA" w:history="1">
        <w:r w:rsidRPr="002B3D2E">
          <w:rPr>
            <w:rFonts w:eastAsia="Times New Roman" w:cs="Times New Roman"/>
            <w:color w:val="auto"/>
            <w:szCs w:val="24"/>
            <w:u w:val="single"/>
            <w:lang w:val="es-CO"/>
          </w:rPr>
          <w:t>59</w:t>
        </w:r>
      </w:hyperlink>
      <w:r w:rsidRPr="002B3D2E">
        <w:rPr>
          <w:rFonts w:eastAsia="Times New Roman" w:cs="Times New Roman"/>
          <w:color w:val="auto"/>
          <w:szCs w:val="24"/>
          <w:lang w:val="es-CO"/>
        </w:rPr>
        <w:t>, </w:t>
      </w:r>
      <w:hyperlink r:id="rId11" w:tooltip="Estatuto Tributario CETA" w:history="1">
        <w:r w:rsidRPr="002B3D2E">
          <w:rPr>
            <w:rFonts w:eastAsia="Times New Roman" w:cs="Times New Roman"/>
            <w:color w:val="auto"/>
            <w:szCs w:val="24"/>
            <w:u w:val="single"/>
            <w:lang w:val="es-CO"/>
          </w:rPr>
          <w:t>105</w:t>
        </w:r>
      </w:hyperlink>
      <w:r w:rsidRPr="002B3D2E">
        <w:rPr>
          <w:rFonts w:eastAsia="Times New Roman" w:cs="Times New Roman"/>
          <w:color w:val="auto"/>
          <w:szCs w:val="24"/>
          <w:lang w:val="es-CO"/>
        </w:rPr>
        <w:t> y </w:t>
      </w:r>
      <w:hyperlink r:id="rId12" w:tooltip="Estatuto Tributario CETA" w:history="1">
        <w:r w:rsidRPr="002B3D2E">
          <w:rPr>
            <w:rFonts w:eastAsia="Times New Roman" w:cs="Times New Roman"/>
            <w:color w:val="auto"/>
            <w:szCs w:val="24"/>
            <w:u w:val="single"/>
            <w:lang w:val="es-CO"/>
          </w:rPr>
          <w:t>107</w:t>
        </w:r>
      </w:hyperlink>
      <w:r w:rsidRPr="002B3D2E">
        <w:rPr>
          <w:rFonts w:eastAsia="Times New Roman" w:cs="Times New Roman"/>
          <w:color w:val="auto"/>
          <w:szCs w:val="24"/>
          <w:lang w:val="es-CO"/>
        </w:rPr>
        <w:t> del Estatuto Tributario, señalan lo siguiente:</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i/>
          <w:iCs/>
          <w:color w:val="auto"/>
          <w:szCs w:val="24"/>
          <w:lang w:val="es-CO"/>
        </w:rPr>
        <w:t> </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b/>
          <w:bCs/>
          <w:i/>
          <w:iCs/>
          <w:color w:val="auto"/>
          <w:szCs w:val="24"/>
          <w:lang w:val="es-CO"/>
        </w:rPr>
        <w:t>“</w:t>
      </w:r>
      <w:hyperlink r:id="rId13" w:tooltip="Estatuto Tributario CETA" w:history="1">
        <w:r w:rsidRPr="002B3D2E">
          <w:rPr>
            <w:rFonts w:eastAsia="Times New Roman" w:cs="Times New Roman"/>
            <w:b/>
            <w:bCs/>
            <w:i/>
            <w:iCs/>
            <w:color w:val="auto"/>
            <w:szCs w:val="24"/>
            <w:u w:val="single"/>
            <w:lang w:val="es-CO"/>
          </w:rPr>
          <w:t>Artículo 59</w:t>
        </w:r>
      </w:hyperlink>
      <w:r w:rsidRPr="002B3D2E">
        <w:rPr>
          <w:rFonts w:eastAsia="Times New Roman" w:cs="Times New Roman"/>
          <w:b/>
          <w:bCs/>
          <w:i/>
          <w:iCs/>
          <w:color w:val="auto"/>
          <w:szCs w:val="24"/>
          <w:lang w:val="es-CO"/>
        </w:rPr>
        <w:t>. </w:t>
      </w:r>
      <w:r w:rsidRPr="002B3D2E">
        <w:rPr>
          <w:rFonts w:eastAsia="Times New Roman" w:cs="Times New Roman"/>
          <w:b/>
          <w:bCs/>
          <w:color w:val="auto"/>
          <w:szCs w:val="24"/>
          <w:lang w:val="es-CO"/>
        </w:rPr>
        <w:t>REALIZACIÓN DEL COSTO PARA LOS OBLIGADOS A LLEVAR CONTABILIDAD. </w:t>
      </w:r>
      <w:r w:rsidRPr="002B3D2E">
        <w:rPr>
          <w:rFonts w:eastAsia="Times New Roman" w:cs="Times New Roman"/>
          <w:color w:val="auto"/>
          <w:szCs w:val="24"/>
          <w:lang w:val="es-CO"/>
        </w:rPr>
        <w:t xml:space="preserve">Para los contribuyentes que estén obligados a llevar contabilidad, los </w:t>
      </w:r>
      <w:r w:rsidRPr="002B3D2E">
        <w:rPr>
          <w:rFonts w:eastAsia="Times New Roman" w:cs="Times New Roman"/>
          <w:color w:val="auto"/>
          <w:szCs w:val="24"/>
          <w:lang w:val="es-CO"/>
        </w:rPr>
        <w:lastRenderedPageBreak/>
        <w:t>costos realizados fiscalmente son los costos devengados contablemente en el año o período gravable …”</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b/>
          <w:bCs/>
          <w:color w:val="auto"/>
          <w:szCs w:val="24"/>
          <w:lang w:val="es-CO"/>
        </w:rPr>
        <w:t>“</w:t>
      </w:r>
      <w:hyperlink r:id="rId14" w:tooltip="Estatuto Tributario CETA" w:history="1">
        <w:r w:rsidRPr="002B3D2E">
          <w:rPr>
            <w:rFonts w:eastAsia="Times New Roman" w:cs="Times New Roman"/>
            <w:b/>
            <w:bCs/>
            <w:color w:val="auto"/>
            <w:szCs w:val="24"/>
            <w:u w:val="single"/>
            <w:lang w:val="es-CO"/>
          </w:rPr>
          <w:t>Artículo 105</w:t>
        </w:r>
      </w:hyperlink>
      <w:r w:rsidRPr="002B3D2E">
        <w:rPr>
          <w:rFonts w:eastAsia="Times New Roman" w:cs="Times New Roman"/>
          <w:b/>
          <w:bCs/>
          <w:color w:val="auto"/>
          <w:szCs w:val="24"/>
          <w:lang w:val="es-CO"/>
        </w:rPr>
        <w:t>. REALIZACIÓN DE LA DEDUCCIÓN PARA LOS OBLIGADOS A LLEVAR CONTABILIDAD. </w:t>
      </w:r>
      <w:r w:rsidRPr="002B3D2E">
        <w:rPr>
          <w:rFonts w:eastAsia="Times New Roman" w:cs="Times New Roman"/>
          <w:color w:val="auto"/>
          <w:szCs w:val="24"/>
          <w:lang w:val="es-CO"/>
        </w:rPr>
        <w:t>Para los contribuyentes que estén obligados a llevar contabilidad, las deducciones realizadas fiscalmente son los gastos devengados contablemente en el año o período gravable que cumplan los requisitos señalados en este estatuto …</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i/>
          <w:iCs/>
          <w:color w:val="auto"/>
          <w:szCs w:val="24"/>
          <w:lang w:val="es-CO"/>
        </w:rPr>
        <w:t> </w:t>
      </w:r>
    </w:p>
    <w:p w:rsidR="002B3D2E" w:rsidRPr="002B3D2E" w:rsidRDefault="00AC663A" w:rsidP="002B3D2E">
      <w:pPr>
        <w:spacing w:line="240" w:lineRule="auto"/>
        <w:ind w:left="180"/>
        <w:rPr>
          <w:rFonts w:eastAsia="Times New Roman" w:cs="Times New Roman"/>
          <w:color w:val="auto"/>
          <w:szCs w:val="24"/>
          <w:lang w:val="es-CO"/>
        </w:rPr>
      </w:pPr>
      <w:hyperlink r:id="rId15" w:tooltip="Estatuto Tributario CETA" w:history="1">
        <w:r w:rsidR="002B3D2E" w:rsidRPr="002B3D2E">
          <w:rPr>
            <w:rFonts w:eastAsia="Times New Roman" w:cs="Times New Roman"/>
            <w:b/>
            <w:bCs/>
            <w:i/>
            <w:iCs/>
            <w:color w:val="auto"/>
            <w:szCs w:val="24"/>
            <w:u w:val="single"/>
            <w:lang w:val="es-CO"/>
          </w:rPr>
          <w:t>Art. 107</w:t>
        </w:r>
      </w:hyperlink>
      <w:r w:rsidR="002B3D2E" w:rsidRPr="002B3D2E">
        <w:rPr>
          <w:rFonts w:eastAsia="Times New Roman" w:cs="Times New Roman"/>
          <w:b/>
          <w:bCs/>
          <w:i/>
          <w:iCs/>
          <w:color w:val="auto"/>
          <w:szCs w:val="24"/>
          <w:lang w:val="es-CO"/>
        </w:rPr>
        <w:t>. Las expensas necesarias son deducibles. </w:t>
      </w:r>
      <w:r w:rsidR="002B3D2E" w:rsidRPr="002B3D2E">
        <w:rPr>
          <w:rFonts w:eastAsia="Times New Roman" w:cs="Times New Roman"/>
          <w:i/>
          <w:iCs/>
          <w:color w:val="auto"/>
          <w:szCs w:val="24"/>
          <w:lang w:val="es-CO"/>
        </w:rPr>
        <w:t>Son deducibles las expensas </w:t>
      </w:r>
      <w:r w:rsidR="002B3D2E" w:rsidRPr="002B3D2E">
        <w:rPr>
          <w:rFonts w:eastAsia="Times New Roman" w:cs="Times New Roman"/>
          <w:i/>
          <w:iCs/>
          <w:color w:val="auto"/>
          <w:szCs w:val="24"/>
          <w:u w:val="single"/>
          <w:lang w:val="es-CO"/>
        </w:rPr>
        <w:t>realizadas durante el año o período gravable en el desarrollo de cualquier actividad productora de renta</w:t>
      </w:r>
      <w:r w:rsidR="002B3D2E" w:rsidRPr="002B3D2E">
        <w:rPr>
          <w:rFonts w:eastAsia="Times New Roman" w:cs="Times New Roman"/>
          <w:i/>
          <w:iCs/>
          <w:color w:val="auto"/>
          <w:szCs w:val="24"/>
          <w:lang w:val="es-CO"/>
        </w:rPr>
        <w:t>, siempre que tengan relación de causalidad con las actividades productoras de renta y que sean necesarias y proporcionadas de acuerdo con cada actividad.”</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Por lo anterior, como se puede observar en estos artículos, salvo las excepciones fijadas en éstos y en general en el Estatuto Tributario, los costos y gastos aceptados fiscalmente son los realizados durante el año o período gravable, en concordancia con el Art. </w:t>
      </w:r>
      <w:hyperlink r:id="rId16" w:tooltip="Estatuto Tributario CETA" w:history="1">
        <w:r w:rsidRPr="002B3D2E">
          <w:rPr>
            <w:rFonts w:eastAsia="Times New Roman" w:cs="Times New Roman"/>
            <w:color w:val="auto"/>
            <w:szCs w:val="24"/>
            <w:u w:val="single"/>
            <w:lang w:val="es-CO"/>
          </w:rPr>
          <w:t>771-2</w:t>
        </w:r>
      </w:hyperlink>
      <w:r w:rsidRPr="002B3D2E">
        <w:rPr>
          <w:rFonts w:eastAsia="Times New Roman" w:cs="Times New Roman"/>
          <w:color w:val="auto"/>
          <w:szCs w:val="24"/>
          <w:lang w:val="es-CO"/>
        </w:rPr>
        <w:t xml:space="preserve"> y </w:t>
      </w:r>
      <w:proofErr w:type="spellStart"/>
      <w:r w:rsidRPr="002B3D2E">
        <w:rPr>
          <w:rFonts w:eastAsia="Times New Roman" w:cs="Times New Roman"/>
          <w:color w:val="auto"/>
          <w:szCs w:val="24"/>
          <w:lang w:val="es-CO"/>
        </w:rPr>
        <w:t>y</w:t>
      </w:r>
      <w:proofErr w:type="spellEnd"/>
      <w:r w:rsidRPr="002B3D2E">
        <w:rPr>
          <w:rFonts w:eastAsia="Times New Roman" w:cs="Times New Roman"/>
          <w:color w:val="auto"/>
          <w:szCs w:val="24"/>
          <w:lang w:val="es-CO"/>
        </w:rPr>
        <w:t xml:space="preserve"> (sic) </w:t>
      </w:r>
      <w:hyperlink r:id="rId17" w:tooltip="Estatuto Tributario CETA" w:history="1">
        <w:r w:rsidRPr="002B3D2E">
          <w:rPr>
            <w:rFonts w:eastAsia="Times New Roman" w:cs="Times New Roman"/>
            <w:color w:val="auto"/>
            <w:szCs w:val="24"/>
            <w:u w:val="single"/>
            <w:lang w:val="es-CO"/>
          </w:rPr>
          <w:t>771-5</w:t>
        </w:r>
      </w:hyperlink>
      <w:r w:rsidRPr="002B3D2E">
        <w:rPr>
          <w:rFonts w:eastAsia="Times New Roman" w:cs="Times New Roman"/>
          <w:color w:val="auto"/>
          <w:szCs w:val="24"/>
          <w:lang w:val="es-CO"/>
        </w:rPr>
        <w:t> del E.T.</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4. </w:t>
      </w:r>
      <w:r w:rsidRPr="002B3D2E">
        <w:rPr>
          <w:rFonts w:eastAsia="Times New Roman" w:cs="Times New Roman"/>
          <w:i/>
          <w:iCs/>
          <w:color w:val="auto"/>
          <w:szCs w:val="24"/>
          <w:lang w:val="es-CO"/>
        </w:rPr>
        <w:t>¿Diferencia en cambio pactada no coincide con la TRM qué tasa debe escogerse?</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Es importante resaltar las siguientes normas del estatuto tributario:</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i/>
          <w:iCs/>
          <w:color w:val="auto"/>
          <w:szCs w:val="24"/>
          <w:lang w:val="es-CO"/>
        </w:rPr>
        <w:t> </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b/>
          <w:bCs/>
          <w:i/>
          <w:iCs/>
          <w:color w:val="auto"/>
          <w:szCs w:val="24"/>
          <w:lang w:val="es-CO"/>
        </w:rPr>
        <w:t>“</w:t>
      </w:r>
      <w:hyperlink r:id="rId18" w:tooltip="Estatuto Tributario CETA" w:history="1">
        <w:r w:rsidRPr="002B3D2E">
          <w:rPr>
            <w:rFonts w:eastAsia="Times New Roman" w:cs="Times New Roman"/>
            <w:b/>
            <w:bCs/>
            <w:i/>
            <w:iCs/>
            <w:color w:val="auto"/>
            <w:szCs w:val="24"/>
            <w:u w:val="single"/>
            <w:lang w:val="es-CO"/>
          </w:rPr>
          <w:t>Artículo 288</w:t>
        </w:r>
      </w:hyperlink>
      <w:r w:rsidRPr="002B3D2E">
        <w:rPr>
          <w:rFonts w:eastAsia="Times New Roman" w:cs="Times New Roman"/>
          <w:b/>
          <w:bCs/>
          <w:i/>
          <w:iCs/>
          <w:color w:val="auto"/>
          <w:szCs w:val="24"/>
          <w:lang w:val="es-CO"/>
        </w:rPr>
        <w:t>… </w:t>
      </w:r>
      <w:r w:rsidRPr="002B3D2E">
        <w:rPr>
          <w:rFonts w:eastAsia="Times New Roman" w:cs="Times New Roman"/>
          <w:i/>
          <w:iCs/>
          <w:color w:val="auto"/>
          <w:szCs w:val="24"/>
          <w:lang w:val="es-CO"/>
        </w:rPr>
        <w:t>Los ingresos, costos, deducciones, activos y pasivos en moneda extranjera se medirán al momento de su reconocimiento inicial a la tasa representativa del mercado …”</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i/>
          <w:iCs/>
          <w:color w:val="auto"/>
          <w:szCs w:val="24"/>
          <w:lang w:val="es-CO"/>
        </w:rPr>
        <w:t> </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b/>
          <w:bCs/>
          <w:i/>
          <w:iCs/>
          <w:color w:val="auto"/>
          <w:szCs w:val="24"/>
          <w:lang w:val="es-CO"/>
        </w:rPr>
        <w:t>“</w:t>
      </w:r>
      <w:hyperlink r:id="rId19" w:tooltip="Estatuto Tributario CETA" w:history="1">
        <w:r w:rsidRPr="002B3D2E">
          <w:rPr>
            <w:rFonts w:eastAsia="Times New Roman" w:cs="Times New Roman"/>
            <w:b/>
            <w:bCs/>
            <w:i/>
            <w:iCs/>
            <w:color w:val="auto"/>
            <w:szCs w:val="24"/>
            <w:u w:val="single"/>
            <w:lang w:val="es-CO"/>
          </w:rPr>
          <w:t>ARTÍCULO 269</w:t>
        </w:r>
      </w:hyperlink>
      <w:r w:rsidRPr="002B3D2E">
        <w:rPr>
          <w:rFonts w:eastAsia="Times New Roman" w:cs="Times New Roman"/>
          <w:b/>
          <w:bCs/>
          <w:i/>
          <w:iCs/>
          <w:color w:val="auto"/>
          <w:szCs w:val="24"/>
          <w:lang w:val="es-CO"/>
        </w:rPr>
        <w:t>. VALOR PATRIMONIAL DE LOS BIENES EN MONEDA EXTRANJERA. </w:t>
      </w:r>
      <w:r w:rsidRPr="002B3D2E">
        <w:rPr>
          <w:rFonts w:eastAsia="Times New Roman" w:cs="Times New Roman"/>
          <w:i/>
          <w:iCs/>
          <w:color w:val="auto"/>
          <w:szCs w:val="24"/>
          <w:lang w:val="es-CO"/>
        </w:rPr>
        <w:t>(Artículo modificado por el artículo 116 de la Ley 1819 de 29 de diciembre de 2016). El valor de los activos en moneda extranjera, se estiman en moneda nacional al momento de su reconocimiento inicial a la tasa representativa del mercado, menos los abonos o pagos medidos a la misma tasa representativa del mercado del reconocimiento inicial.”</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i/>
          <w:iCs/>
          <w:color w:val="auto"/>
          <w:szCs w:val="24"/>
          <w:lang w:val="es-CO"/>
        </w:rPr>
        <w:t> </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b/>
          <w:bCs/>
          <w:i/>
          <w:iCs/>
          <w:color w:val="auto"/>
          <w:szCs w:val="24"/>
          <w:lang w:val="es-CO"/>
        </w:rPr>
        <w:t>“</w:t>
      </w:r>
      <w:hyperlink r:id="rId20" w:tooltip="Estatuto Tributario CETA" w:history="1">
        <w:r w:rsidRPr="002B3D2E">
          <w:rPr>
            <w:rFonts w:eastAsia="Times New Roman" w:cs="Times New Roman"/>
            <w:b/>
            <w:bCs/>
            <w:i/>
            <w:iCs/>
            <w:color w:val="auto"/>
            <w:szCs w:val="24"/>
            <w:u w:val="single"/>
            <w:lang w:val="es-CO"/>
          </w:rPr>
          <w:t>ARTÍCULO 285</w:t>
        </w:r>
      </w:hyperlink>
      <w:r w:rsidRPr="002B3D2E">
        <w:rPr>
          <w:rFonts w:eastAsia="Times New Roman" w:cs="Times New Roman"/>
          <w:b/>
          <w:bCs/>
          <w:i/>
          <w:iCs/>
          <w:color w:val="auto"/>
          <w:szCs w:val="24"/>
          <w:lang w:val="es-CO"/>
        </w:rPr>
        <w:t>. PASIVOS MONEDA EXTRANJERA.</w:t>
      </w:r>
      <w:r w:rsidRPr="002B3D2E">
        <w:rPr>
          <w:rFonts w:eastAsia="Times New Roman" w:cs="Times New Roman"/>
          <w:i/>
          <w:iCs/>
          <w:color w:val="auto"/>
          <w:szCs w:val="24"/>
          <w:lang w:val="es-CO"/>
        </w:rPr>
        <w:t> (Artículo modificado por el artículo 120 de la Ley 1819 de 29 de diciembre de 2016). El valor de los pasivos en moneda extranjera, se estiman en moneda nacional al momento de su reconocimiento inicial a la tasa representativa del mercado, menos los abonos o pagos medidos a la misma tasa representativa del mercado del reconocimiento inicial.”</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xml:space="preserve">Por lo </w:t>
      </w:r>
      <w:proofErr w:type="gramStart"/>
      <w:r w:rsidRPr="002B3D2E">
        <w:rPr>
          <w:rFonts w:eastAsia="Times New Roman" w:cs="Times New Roman"/>
          <w:color w:val="auto"/>
          <w:szCs w:val="24"/>
          <w:lang w:val="es-CO"/>
        </w:rPr>
        <w:t>tanto</w:t>
      </w:r>
      <w:proofErr w:type="gramEnd"/>
      <w:r w:rsidRPr="002B3D2E">
        <w:rPr>
          <w:rFonts w:eastAsia="Times New Roman" w:cs="Times New Roman"/>
          <w:color w:val="auto"/>
          <w:szCs w:val="24"/>
          <w:lang w:val="es-CO"/>
        </w:rPr>
        <w:t xml:space="preserve"> para efectos fiscales se debe utilizar la tasa representativa del mercado debidamente certificada.</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5. </w:t>
      </w:r>
      <w:r w:rsidRPr="002B3D2E">
        <w:rPr>
          <w:rFonts w:eastAsia="Times New Roman" w:cs="Times New Roman"/>
          <w:i/>
          <w:iCs/>
          <w:color w:val="auto"/>
          <w:szCs w:val="24"/>
          <w:lang w:val="es-CO"/>
        </w:rPr>
        <w:t xml:space="preserve">¿VNR inventarios y posible exigencia de la DIAN de mostrarlo separado como gasto de deterioro y no inmerso en el costo de la mercancía vendida: lo que implicaría para los contribuyentes controlar por referencia el deterioro llevado bajo NIIF, para conocer el </w:t>
      </w:r>
      <w:r w:rsidRPr="002B3D2E">
        <w:rPr>
          <w:rFonts w:eastAsia="Times New Roman" w:cs="Times New Roman"/>
          <w:i/>
          <w:iCs/>
          <w:color w:val="auto"/>
          <w:szCs w:val="24"/>
          <w:lang w:val="es-CO"/>
        </w:rPr>
        <w:lastRenderedPageBreak/>
        <w:t>momento en que la referencia respectiva del inventario se vende, con el fin de poder solicitar el deterioro bajo NIIF como deducible para efectos fiscales?</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El registro tanto contable como fiscal de los hechos económicos debe corresponder a su naturaleza y a las circunstancias específicas que se dan. En el caso del deterioro, éste necesariamente tiene estrecha relación con el activo sobre el que se produce, razón por la que se debe conocer con precisión el momento y las razones por las que se produce.</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De otra parte, dado que el reconocimiento contable del deterioro genera impuesto diferido, para la reversión de éste, es necesario igualmente determinar cuándo se produce el reconocimiento fiscal. Si no se dispone de esta información no se sabría cuando dar de baja un activo o pasivo por impuesto diferido o se estaría afectando con base en partidas que posiblemente no han generado diferencias contables y fiscales.</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Por último, está el tema probatorio para propósitos fiscales, la cual todo costo o deducción que se lleve a la declaración de renta y complementarios deberá estar plenamente probado para su aceptación.</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Pregunta:</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6. </w:t>
      </w:r>
      <w:r w:rsidRPr="002B3D2E">
        <w:rPr>
          <w:rFonts w:eastAsia="Times New Roman" w:cs="Times New Roman"/>
          <w:i/>
          <w:iCs/>
          <w:color w:val="auto"/>
          <w:szCs w:val="24"/>
          <w:lang w:val="es-CO"/>
        </w:rPr>
        <w:t>¿El </w:t>
      </w:r>
      <w:hyperlink r:id="rId21" w:tooltip="Estatuto Tributario CETA" w:history="1">
        <w:r w:rsidRPr="002B3D2E">
          <w:rPr>
            <w:rFonts w:eastAsia="Times New Roman" w:cs="Times New Roman"/>
            <w:i/>
            <w:iCs/>
            <w:color w:val="auto"/>
            <w:szCs w:val="24"/>
            <w:u w:val="single"/>
            <w:lang w:val="es-CO"/>
          </w:rPr>
          <w:t>artículo 74-1</w:t>
        </w:r>
      </w:hyperlink>
      <w:r w:rsidRPr="002B3D2E">
        <w:rPr>
          <w:rFonts w:eastAsia="Times New Roman" w:cs="Times New Roman"/>
          <w:i/>
          <w:iCs/>
          <w:color w:val="auto"/>
          <w:szCs w:val="24"/>
          <w:lang w:val="es-CO"/>
        </w:rPr>
        <w:t> del E.T. numeral 5 literal b: consagra que en instrumentos financieros de renta fija, el costo fiscal será el valor pago en la adquisición más los intereses realizados linealmente atendiendo a la tasa facial, mientras que el </w:t>
      </w:r>
      <w:hyperlink r:id="rId22" w:tooltip="Estatuto Tributario CETA" w:history="1">
        <w:r w:rsidRPr="002B3D2E">
          <w:rPr>
            <w:rFonts w:eastAsia="Times New Roman" w:cs="Times New Roman"/>
            <w:i/>
            <w:iCs/>
            <w:color w:val="auto"/>
            <w:szCs w:val="24"/>
            <w:u w:val="single"/>
            <w:lang w:val="es-CO"/>
          </w:rPr>
          <w:t>artículo 33-1</w:t>
        </w:r>
      </w:hyperlink>
      <w:r w:rsidRPr="002B3D2E">
        <w:rPr>
          <w:rFonts w:eastAsia="Times New Roman" w:cs="Times New Roman"/>
          <w:i/>
          <w:iCs/>
          <w:color w:val="auto"/>
          <w:szCs w:val="24"/>
          <w:lang w:val="es-CO"/>
        </w:rPr>
        <w:t> del E.T. señala que los instrumentos financieros a costo amortizado (que normalmente son renta fija). se medirán de conformidad con el primer inciso del artículo </w:t>
      </w:r>
      <w:hyperlink r:id="rId23" w:tooltip="Estatuto Tributario CETA" w:history="1">
        <w:r w:rsidRPr="002B3D2E">
          <w:rPr>
            <w:rFonts w:eastAsia="Times New Roman" w:cs="Times New Roman"/>
            <w:i/>
            <w:iCs/>
            <w:color w:val="auto"/>
            <w:szCs w:val="24"/>
            <w:u w:val="single"/>
            <w:lang w:val="es-CO"/>
          </w:rPr>
          <w:t>28</w:t>
        </w:r>
      </w:hyperlink>
      <w:r w:rsidRPr="002B3D2E">
        <w:rPr>
          <w:rFonts w:eastAsia="Times New Roman" w:cs="Times New Roman"/>
          <w:i/>
          <w:iCs/>
          <w:color w:val="auto"/>
          <w:szCs w:val="24"/>
          <w:lang w:val="es-CO"/>
        </w:rPr>
        <w:t>, </w:t>
      </w:r>
      <w:hyperlink r:id="rId24" w:tooltip="Estatuto Tributario CETA" w:history="1">
        <w:r w:rsidRPr="002B3D2E">
          <w:rPr>
            <w:rFonts w:eastAsia="Times New Roman" w:cs="Times New Roman"/>
            <w:i/>
            <w:iCs/>
            <w:color w:val="auto"/>
            <w:szCs w:val="24"/>
            <w:u w:val="single"/>
            <w:lang w:val="es-CO"/>
          </w:rPr>
          <w:t>59</w:t>
        </w:r>
      </w:hyperlink>
      <w:r w:rsidRPr="002B3D2E">
        <w:rPr>
          <w:rFonts w:eastAsia="Times New Roman" w:cs="Times New Roman"/>
          <w:i/>
          <w:iCs/>
          <w:color w:val="auto"/>
          <w:szCs w:val="24"/>
          <w:lang w:val="es-CO"/>
        </w:rPr>
        <w:t> y </w:t>
      </w:r>
      <w:hyperlink r:id="rId25" w:tooltip="Estatuto Tributario CETA" w:history="1">
        <w:r w:rsidRPr="002B3D2E">
          <w:rPr>
            <w:rFonts w:eastAsia="Times New Roman" w:cs="Times New Roman"/>
            <w:i/>
            <w:iCs/>
            <w:color w:val="auto"/>
            <w:szCs w:val="24"/>
            <w:u w:val="single"/>
            <w:lang w:val="es-CO"/>
          </w:rPr>
          <w:t>105</w:t>
        </w:r>
      </w:hyperlink>
      <w:r w:rsidRPr="002B3D2E">
        <w:rPr>
          <w:rFonts w:eastAsia="Times New Roman" w:cs="Times New Roman"/>
          <w:i/>
          <w:iCs/>
          <w:color w:val="auto"/>
          <w:szCs w:val="24"/>
          <w:lang w:val="es-CO"/>
        </w:rPr>
        <w:t>, los cuales hacen referencia a la realización contable, donde se define para este tipo de instrumentos el modelo de costo amortizado con tasa de interés efectiva, que puede ser distinta a la tasa facial?</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Lo primero es señalar que los dos artículos tienen propósitos diferentes, ya que el </w:t>
      </w:r>
      <w:hyperlink r:id="rId26" w:tooltip="Estatuto Tributario CETA" w:history="1">
        <w:r w:rsidRPr="002B3D2E">
          <w:rPr>
            <w:rFonts w:eastAsia="Times New Roman" w:cs="Times New Roman"/>
            <w:color w:val="auto"/>
            <w:szCs w:val="24"/>
            <w:u w:val="single"/>
            <w:lang w:val="es-CO"/>
          </w:rPr>
          <w:t>artículo 33-1</w:t>
        </w:r>
      </w:hyperlink>
      <w:r w:rsidRPr="002B3D2E">
        <w:rPr>
          <w:rFonts w:eastAsia="Times New Roman" w:cs="Times New Roman"/>
          <w:color w:val="auto"/>
          <w:szCs w:val="24"/>
          <w:lang w:val="es-CO"/>
        </w:rPr>
        <w:t> hace referencia al tratamiento que se le debe dar a los instrumentos financieros medidos a costo amortizado para efectos del reconocimiento de ingresos, costos y deducciones, en tanto que el </w:t>
      </w:r>
      <w:hyperlink r:id="rId27" w:tooltip="Estatuto Tributario CETA" w:history="1">
        <w:r w:rsidRPr="002B3D2E">
          <w:rPr>
            <w:rFonts w:eastAsia="Times New Roman" w:cs="Times New Roman"/>
            <w:color w:val="auto"/>
            <w:szCs w:val="24"/>
            <w:u w:val="single"/>
            <w:lang w:val="es-CO"/>
          </w:rPr>
          <w:t>artículo 74-1</w:t>
        </w:r>
      </w:hyperlink>
      <w:r w:rsidRPr="002B3D2E">
        <w:rPr>
          <w:rFonts w:eastAsia="Times New Roman" w:cs="Times New Roman"/>
          <w:color w:val="auto"/>
          <w:szCs w:val="24"/>
          <w:lang w:val="es-CO"/>
        </w:rPr>
        <w:t> lo que determina es el costo fiscal de las inversiones.</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Adicionalmente el </w:t>
      </w:r>
      <w:hyperlink r:id="rId28" w:tooltip="Estatuto Tributario CETA" w:history="1">
        <w:r w:rsidRPr="002B3D2E">
          <w:rPr>
            <w:rFonts w:eastAsia="Times New Roman" w:cs="Times New Roman"/>
            <w:color w:val="auto"/>
            <w:szCs w:val="24"/>
            <w:u w:val="single"/>
            <w:lang w:val="es-CO"/>
          </w:rPr>
          <w:t>artículo 33</w:t>
        </w:r>
      </w:hyperlink>
      <w:r w:rsidRPr="002B3D2E">
        <w:rPr>
          <w:rFonts w:eastAsia="Times New Roman" w:cs="Times New Roman"/>
          <w:color w:val="auto"/>
          <w:szCs w:val="24"/>
          <w:lang w:val="es-CO"/>
        </w:rPr>
        <w:t> del Estatuto Tributario determina el tratamiento fiscal de los ingresos, costos y gastos para los instrumentos financieros medidos a valor razonable.</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En consecuencia, dependiendo de las características del instrumento financiero se determinará el tratamiento fiscal de los ingresos, costos y gastos asociados al mismo, esto es; mediante la aplicación del artículo </w:t>
      </w:r>
      <w:hyperlink r:id="rId29" w:tooltip="Estatuto Tributario CETA" w:history="1">
        <w:r w:rsidRPr="002B3D2E">
          <w:rPr>
            <w:rFonts w:eastAsia="Times New Roman" w:cs="Times New Roman"/>
            <w:color w:val="auto"/>
            <w:szCs w:val="24"/>
            <w:u w:val="single"/>
            <w:lang w:val="es-CO"/>
          </w:rPr>
          <w:t>33</w:t>
        </w:r>
      </w:hyperlink>
      <w:r w:rsidRPr="002B3D2E">
        <w:rPr>
          <w:rFonts w:eastAsia="Times New Roman" w:cs="Times New Roman"/>
          <w:color w:val="auto"/>
          <w:szCs w:val="24"/>
          <w:lang w:val="es-CO"/>
        </w:rPr>
        <w:t> o </w:t>
      </w:r>
      <w:hyperlink r:id="rId30" w:tooltip="Estatuto Tributario CETA" w:history="1">
        <w:r w:rsidRPr="002B3D2E">
          <w:rPr>
            <w:rFonts w:eastAsia="Times New Roman" w:cs="Times New Roman"/>
            <w:color w:val="auto"/>
            <w:szCs w:val="24"/>
            <w:u w:val="single"/>
            <w:lang w:val="es-CO"/>
          </w:rPr>
          <w:t>33-1</w:t>
        </w:r>
      </w:hyperlink>
      <w:r w:rsidRPr="002B3D2E">
        <w:rPr>
          <w:rFonts w:eastAsia="Times New Roman" w:cs="Times New Roman"/>
          <w:color w:val="auto"/>
          <w:szCs w:val="24"/>
          <w:lang w:val="es-CO"/>
        </w:rPr>
        <w:t> del Estatuto Tributario, según corresponda.</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7. </w:t>
      </w:r>
      <w:r w:rsidRPr="002B3D2E">
        <w:rPr>
          <w:rFonts w:eastAsia="Times New Roman" w:cs="Times New Roman"/>
          <w:i/>
          <w:iCs/>
          <w:color w:val="auto"/>
          <w:szCs w:val="24"/>
          <w:lang w:val="es-CO"/>
        </w:rPr>
        <w:t xml:space="preserve">¿El artículo 82 de la Ley 1819 de 2016 parágrafo 1: Se establecen las tasa (sic) máximas de depreciación por cada grupo de activos; esta limitación aplica también para los activos iguales o inferiores a 50 UVT que según el artículo 1.2.1.18.5 del Decreto 1525 (Sic) de 2016 pueden depreciarse en el mismo año en que se adquieren, sin consideración a la vida útil de los </w:t>
      </w:r>
      <w:proofErr w:type="gramStart"/>
      <w:r w:rsidRPr="002B3D2E">
        <w:rPr>
          <w:rFonts w:eastAsia="Times New Roman" w:cs="Times New Roman"/>
          <w:i/>
          <w:iCs/>
          <w:color w:val="auto"/>
          <w:szCs w:val="24"/>
          <w:lang w:val="es-CO"/>
        </w:rPr>
        <w:t>mismos?.</w:t>
      </w:r>
      <w:proofErr w:type="gramEnd"/>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lastRenderedPageBreak/>
        <w:t xml:space="preserve">El artículo 1.2.1.18.5 del Decreto 1625 de 2016 en mención no ha sido derogado, por lo </w:t>
      </w:r>
      <w:proofErr w:type="gramStart"/>
      <w:r w:rsidRPr="002B3D2E">
        <w:rPr>
          <w:rFonts w:eastAsia="Times New Roman" w:cs="Times New Roman"/>
          <w:color w:val="auto"/>
          <w:szCs w:val="24"/>
          <w:lang w:val="es-CO"/>
        </w:rPr>
        <w:t>tanto</w:t>
      </w:r>
      <w:proofErr w:type="gramEnd"/>
      <w:r w:rsidRPr="002B3D2E">
        <w:rPr>
          <w:rFonts w:eastAsia="Times New Roman" w:cs="Times New Roman"/>
          <w:color w:val="auto"/>
          <w:szCs w:val="24"/>
          <w:lang w:val="es-CO"/>
        </w:rPr>
        <w:t xml:space="preserve"> se encuentra vigente, a su vez cada contribuyente debe evaluar la procedencia de aplicabilidad de esta excepción.</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8. </w:t>
      </w:r>
      <w:r w:rsidRPr="002B3D2E">
        <w:rPr>
          <w:rFonts w:eastAsia="Times New Roman" w:cs="Times New Roman"/>
          <w:i/>
          <w:iCs/>
          <w:color w:val="auto"/>
          <w:szCs w:val="24"/>
          <w:lang w:val="es-CO"/>
        </w:rPr>
        <w:t>¿El artículo 83 de la Ley 1819 de 2016: Establece la posibilidad de acelerar en un 25%, si el bien depreciable se utiliza diariamente por 16 horas y proporcionalmente en fracciones superiores, si el bien se utiliza 24 horas; el porcentaje adicional de depreciación es 50% o 37.5%.?</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i/>
          <w:iCs/>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i/>
          <w:iCs/>
          <w:color w:val="auto"/>
          <w:szCs w:val="24"/>
          <w:lang w:val="es-CO"/>
        </w:rPr>
        <w:t>El alcance del </w:t>
      </w:r>
      <w:hyperlink r:id="rId31" w:tooltip="Estatuto Tributario CETA" w:history="1">
        <w:r w:rsidRPr="002B3D2E">
          <w:rPr>
            <w:rFonts w:eastAsia="Times New Roman" w:cs="Times New Roman"/>
            <w:i/>
            <w:iCs/>
            <w:color w:val="auto"/>
            <w:szCs w:val="24"/>
            <w:u w:val="single"/>
            <w:lang w:val="es-CO"/>
          </w:rPr>
          <w:t>140</w:t>
        </w:r>
      </w:hyperlink>
      <w:r w:rsidRPr="002B3D2E">
        <w:rPr>
          <w:rFonts w:eastAsia="Times New Roman" w:cs="Times New Roman"/>
          <w:i/>
          <w:iCs/>
          <w:color w:val="auto"/>
          <w:szCs w:val="24"/>
          <w:lang w:val="es-CO"/>
        </w:rPr>
        <w:t> del estatuto tributario modificado por el artículo 83 de la Ley 1819 de 2016, establece que:</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i/>
          <w:iCs/>
          <w:color w:val="auto"/>
          <w:szCs w:val="24"/>
          <w:lang w:val="es-CO"/>
        </w:rPr>
        <w:t> </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i/>
          <w:iCs/>
          <w:color w:val="auto"/>
          <w:szCs w:val="24"/>
          <w:lang w:val="es-CO"/>
        </w:rPr>
        <w:t>“El contribuyente puede aumentar la alícuota de depreciación determinada en el </w:t>
      </w:r>
      <w:hyperlink r:id="rId32" w:tooltip="Estatuto Tributario CETA" w:history="1">
        <w:r w:rsidRPr="002B3D2E">
          <w:rPr>
            <w:rFonts w:eastAsia="Times New Roman" w:cs="Times New Roman"/>
            <w:i/>
            <w:iCs/>
            <w:color w:val="auto"/>
            <w:szCs w:val="24"/>
            <w:u w:val="single"/>
            <w:lang w:val="es-CO"/>
          </w:rPr>
          <w:t>artículo 137</w:t>
        </w:r>
      </w:hyperlink>
      <w:r w:rsidRPr="002B3D2E">
        <w:rPr>
          <w:rFonts w:eastAsia="Times New Roman" w:cs="Times New Roman"/>
          <w:i/>
          <w:iCs/>
          <w:color w:val="auto"/>
          <w:szCs w:val="24"/>
          <w:lang w:val="es-CO"/>
        </w:rPr>
        <w:t> de este estatuto en un veinticinco por ciento (25%), si el bien depreciable se utiliza diariamente por 16 horas y proporcionalmente en fracciones superiores, siempre y cuando esto se demuestre.</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i/>
          <w:iCs/>
          <w:color w:val="auto"/>
          <w:szCs w:val="24"/>
          <w:lang w:val="es-CO"/>
        </w:rPr>
        <w:t> </w:t>
      </w:r>
    </w:p>
    <w:p w:rsidR="002B3D2E" w:rsidRPr="002B3D2E" w:rsidRDefault="002B3D2E" w:rsidP="002B3D2E">
      <w:pPr>
        <w:spacing w:line="240" w:lineRule="auto"/>
        <w:ind w:left="180"/>
        <w:rPr>
          <w:rFonts w:eastAsia="Times New Roman" w:cs="Times New Roman"/>
          <w:color w:val="auto"/>
          <w:szCs w:val="24"/>
          <w:lang w:val="es-CO"/>
        </w:rPr>
      </w:pPr>
      <w:r w:rsidRPr="002B3D2E">
        <w:rPr>
          <w:rFonts w:eastAsia="Times New Roman" w:cs="Times New Roman"/>
          <w:i/>
          <w:iCs/>
          <w:color w:val="auto"/>
          <w:szCs w:val="24"/>
          <w:lang w:val="es-CO"/>
        </w:rPr>
        <w:t>El tratamiento aquí previsto no será aplicable respecto de los bienes inmueble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xml:space="preserve">De lo anterior se tiene que la utilización diaria del activo por 16 horas le permite al contribuyente un incremento del 25% de la tasa de depreciación fiscal anual, por lo </w:t>
      </w:r>
      <w:proofErr w:type="gramStart"/>
      <w:r w:rsidRPr="002B3D2E">
        <w:rPr>
          <w:rFonts w:eastAsia="Times New Roman" w:cs="Times New Roman"/>
          <w:color w:val="auto"/>
          <w:szCs w:val="24"/>
          <w:lang w:val="es-CO"/>
        </w:rPr>
        <w:t>tanto</w:t>
      </w:r>
      <w:proofErr w:type="gramEnd"/>
      <w:r w:rsidRPr="002B3D2E">
        <w:rPr>
          <w:rFonts w:eastAsia="Times New Roman" w:cs="Times New Roman"/>
          <w:color w:val="auto"/>
          <w:szCs w:val="24"/>
          <w:lang w:val="es-CO"/>
        </w:rPr>
        <w:t xml:space="preserve"> en la medida que el activo se utilice más allá de las 16 horas hasta llegar al máximo de 24 horas diarias, se tendría que calcular la fracción así:</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w:t>
      </w:r>
      <w:r w:rsidRPr="002B3D2E">
        <w:rPr>
          <w:rFonts w:eastAsia="Times New Roman" w:cs="Times New Roman"/>
          <w:b/>
          <w:bCs/>
          <w:color w:val="auto"/>
          <w:szCs w:val="24"/>
          <w:u w:val="single"/>
          <w:lang w:val="es-CO"/>
        </w:rPr>
        <w:t>No. de horas utilizadas diariamente * 25%</w:t>
      </w:r>
      <w:r w:rsidRPr="002B3D2E">
        <w:rPr>
          <w:rFonts w:eastAsia="Times New Roman" w:cs="Times New Roman"/>
          <w:b/>
          <w:bCs/>
          <w:color w:val="auto"/>
          <w:szCs w:val="24"/>
          <w:lang w:val="es-CO"/>
        </w:rPr>
        <w:t>)</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16 horas</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En consecuencia se tiene que el incremento máximo de la tasa de depreciación fiscal anual será del 37.5%.</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En los anteriores términos se resuelve su consulta.</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2B3D2E"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AC663A"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Atentamente,</w:t>
      </w:r>
    </w:p>
    <w:p w:rsidR="002B3D2E" w:rsidRPr="00AC663A"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AC663A" w:rsidRDefault="002B3D2E" w:rsidP="002B3D2E">
      <w:pPr>
        <w:spacing w:line="240" w:lineRule="auto"/>
        <w:rPr>
          <w:rFonts w:eastAsia="Times New Roman" w:cs="Times New Roman"/>
          <w:color w:val="auto"/>
          <w:szCs w:val="24"/>
          <w:lang w:val="es-CO"/>
        </w:rPr>
      </w:pPr>
      <w:r w:rsidRPr="002B3D2E">
        <w:rPr>
          <w:rFonts w:eastAsia="Times New Roman" w:cs="Times New Roman"/>
          <w:color w:val="auto"/>
          <w:szCs w:val="24"/>
          <w:lang w:val="es-CO"/>
        </w:rPr>
        <w:t> </w:t>
      </w:r>
    </w:p>
    <w:p w:rsidR="002B3D2E" w:rsidRPr="00AC663A" w:rsidRDefault="002B3D2E" w:rsidP="002B3D2E">
      <w:pPr>
        <w:spacing w:line="240" w:lineRule="auto"/>
        <w:rPr>
          <w:rFonts w:eastAsia="Times New Roman" w:cs="Times New Roman"/>
          <w:color w:val="auto"/>
          <w:szCs w:val="24"/>
          <w:lang w:val="es-CO"/>
        </w:rPr>
      </w:pPr>
      <w:r w:rsidRPr="002B3D2E">
        <w:rPr>
          <w:rFonts w:eastAsia="Times New Roman" w:cs="Times New Roman"/>
          <w:b/>
          <w:bCs/>
          <w:color w:val="auto"/>
          <w:szCs w:val="24"/>
          <w:lang w:val="es-CO"/>
        </w:rPr>
        <w:t>LILIANA ANDREA FORERO GÓMEZ</w:t>
      </w:r>
    </w:p>
    <w:p w:rsidR="00147980" w:rsidRDefault="002B3D2E" w:rsidP="002B3D2E">
      <w:pPr>
        <w:rPr>
          <w:rFonts w:eastAsia="Times New Roman" w:cs="Times New Roman"/>
          <w:color w:val="auto"/>
          <w:szCs w:val="24"/>
          <w:lang w:val="es-CO"/>
        </w:rPr>
      </w:pPr>
      <w:r w:rsidRPr="002B3D2E">
        <w:rPr>
          <w:rFonts w:eastAsia="Times New Roman" w:cs="Times New Roman"/>
          <w:color w:val="auto"/>
          <w:szCs w:val="24"/>
          <w:lang w:val="es-CO"/>
        </w:rPr>
        <w:t>Directora de Gestión Jurídica</w:t>
      </w:r>
    </w:p>
    <w:p w:rsidR="002B3D2E" w:rsidRPr="002B3D2E" w:rsidRDefault="002B3D2E" w:rsidP="002B3D2E">
      <w:pPr>
        <w:rPr>
          <w:rFonts w:cs="Times New Roman"/>
          <w:color w:val="auto"/>
          <w:szCs w:val="24"/>
        </w:rPr>
      </w:pPr>
      <w:r>
        <w:rPr>
          <w:rFonts w:eastAsia="Times New Roman" w:cs="Times New Roman"/>
          <w:color w:val="auto"/>
          <w:szCs w:val="24"/>
          <w:lang w:val="es-CO"/>
        </w:rPr>
        <w:t>_________________________________________________________________________</w:t>
      </w:r>
    </w:p>
    <w:sectPr w:rsidR="002B3D2E" w:rsidRPr="002B3D2E" w:rsidSect="00AC663A">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2E"/>
    <w:rsid w:val="00147980"/>
    <w:rsid w:val="002B3D2E"/>
    <w:rsid w:val="005B1EA0"/>
    <w:rsid w:val="00AC663A"/>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17924-277C-49B6-B0AC-6370E751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B3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40" TargetMode="External"/><Relationship Id="rId13" Type="http://schemas.openxmlformats.org/officeDocument/2006/relationships/hyperlink" Target="https://www.ceta.org.co/html/vista_de_un_articulo.asp?Norma=100" TargetMode="External"/><Relationship Id="rId18" Type="http://schemas.openxmlformats.org/officeDocument/2006/relationships/hyperlink" Target="https://www.ceta.org.co/html/vista_de_un_articulo.asp?Norma=365" TargetMode="External"/><Relationship Id="rId26" Type="http://schemas.openxmlformats.org/officeDocument/2006/relationships/hyperlink" Target="https://www.ceta.org.co/html/vista_de_un_articulo.asp?Norma=42472"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2478" TargetMode="External"/><Relationship Id="rId34" Type="http://schemas.openxmlformats.org/officeDocument/2006/relationships/theme" Target="theme/theme1.xml"/><Relationship Id="rId7" Type="http://schemas.openxmlformats.org/officeDocument/2006/relationships/hyperlink" Target="https://www.ceta.org.co/html/vista_de_un_articulo.asp?Norma=519" TargetMode="External"/><Relationship Id="rId12" Type="http://schemas.openxmlformats.org/officeDocument/2006/relationships/hyperlink" Target="https://www.ceta.org.co/html/vista_de_un_articulo.asp?Norma=155" TargetMode="External"/><Relationship Id="rId17" Type="http://schemas.openxmlformats.org/officeDocument/2006/relationships/hyperlink" Target="https://www.ceta.org.co/html/vista_de_un_articulo.asp?Norma=26863" TargetMode="External"/><Relationship Id="rId25" Type="http://schemas.openxmlformats.org/officeDocument/2006/relationships/hyperlink" Target="https://www.ceta.org.co/html/vista_de_un_articulo.asp?Norma=153"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957" TargetMode="External"/><Relationship Id="rId20" Type="http://schemas.openxmlformats.org/officeDocument/2006/relationships/hyperlink" Target="https://www.ceta.org.co/html/vista_de_un_articulo.asp?Norma=362" TargetMode="External"/><Relationship Id="rId29" Type="http://schemas.openxmlformats.org/officeDocument/2006/relationships/hyperlink" Target="https://www.ceta.org.co/html/vista_de_un_articulo.asp?Norma=64" TargetMode="External"/><Relationship Id="rId1" Type="http://schemas.openxmlformats.org/officeDocument/2006/relationships/styles" Target="styles.xml"/><Relationship Id="rId6" Type="http://schemas.openxmlformats.org/officeDocument/2006/relationships/hyperlink" Target="https://www.ceta.org.co/html/vista_de_un_articulo.asp?Norma=519" TargetMode="External"/><Relationship Id="rId11" Type="http://schemas.openxmlformats.org/officeDocument/2006/relationships/hyperlink" Target="https://www.ceta.org.co/html/vista_de_un_articulo.asp?Norma=153" TargetMode="External"/><Relationship Id="rId24" Type="http://schemas.openxmlformats.org/officeDocument/2006/relationships/hyperlink" Target="https://www.ceta.org.co/html/vista_de_un_articulo.asp?Norma=100" TargetMode="External"/><Relationship Id="rId32" Type="http://schemas.openxmlformats.org/officeDocument/2006/relationships/hyperlink" Target="https://www.ceta.org.co/html/vista_de_un_articulo.asp?Norma=199" TargetMode="External"/><Relationship Id="rId5" Type="http://schemas.openxmlformats.org/officeDocument/2006/relationships/hyperlink" Target="https://www.ceta.org.co/html/vista_de_un_articulo.asp?Norma=540" TargetMode="External"/><Relationship Id="rId15" Type="http://schemas.openxmlformats.org/officeDocument/2006/relationships/hyperlink" Target="https://www.ceta.org.co/html/vista_de_un_articulo.asp?Norma=155" TargetMode="External"/><Relationship Id="rId23" Type="http://schemas.openxmlformats.org/officeDocument/2006/relationships/hyperlink" Target="https://www.ceta.org.co/html/vista_de_un_articulo.asp?Norma=58" TargetMode="External"/><Relationship Id="rId28" Type="http://schemas.openxmlformats.org/officeDocument/2006/relationships/hyperlink" Target="https://www.ceta.org.co/html/vista_de_un_articulo.asp?Norma=64" TargetMode="External"/><Relationship Id="rId10" Type="http://schemas.openxmlformats.org/officeDocument/2006/relationships/hyperlink" Target="https://www.ceta.org.co/html/vista_de_un_articulo.asp?Norma=100" TargetMode="External"/><Relationship Id="rId19" Type="http://schemas.openxmlformats.org/officeDocument/2006/relationships/hyperlink" Target="https://www.ceta.org.co/html/vista_de_un_articulo.asp?Norma=345" TargetMode="External"/><Relationship Id="rId31" Type="http://schemas.openxmlformats.org/officeDocument/2006/relationships/hyperlink" Target="https://www.ceta.org.co/html/vista_de_un_articulo.asp?Norma=202" TargetMode="External"/><Relationship Id="rId4" Type="http://schemas.openxmlformats.org/officeDocument/2006/relationships/hyperlink" Target="https://www.ceta.org.co/html/vista_de_un_articulo.asp?Norma=365" TargetMode="External"/><Relationship Id="rId9" Type="http://schemas.openxmlformats.org/officeDocument/2006/relationships/hyperlink" Target="https://www.ceta.org.co/html/vista_de_un_articulo.asp?Norma=957" TargetMode="External"/><Relationship Id="rId14" Type="http://schemas.openxmlformats.org/officeDocument/2006/relationships/hyperlink" Target="https://www.ceta.org.co/html/vista_de_un_articulo.asp?Norma=153" TargetMode="External"/><Relationship Id="rId22" Type="http://schemas.openxmlformats.org/officeDocument/2006/relationships/hyperlink" Target="https://www.ceta.org.co/html/vista_de_un_articulo.asp?Norma=42472" TargetMode="External"/><Relationship Id="rId27" Type="http://schemas.openxmlformats.org/officeDocument/2006/relationships/hyperlink" Target="https://www.ceta.org.co/html/vista_de_un_articulo.asp?Norma=42478" TargetMode="External"/><Relationship Id="rId30" Type="http://schemas.openxmlformats.org/officeDocument/2006/relationships/hyperlink" Target="https://www.ceta.org.co/html/vista_de_un_articulo.asp?Norma=424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2277</Words>
  <Characters>12983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2018-04-20T00:40:00Z</dcterms:created>
  <dcterms:modified xsi:type="dcterms:W3CDTF">2018-04-22T21:35:00Z</dcterms:modified>
</cp:coreProperties>
</file>