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AE2" w:rsidRPr="003D47AB" w:rsidRDefault="00731AE2" w:rsidP="00731AE2">
      <w:pPr>
        <w:spacing w:line="240" w:lineRule="auto"/>
        <w:jc w:val="center"/>
        <w:rPr>
          <w:rFonts w:eastAsia="Times New Roman" w:cs="Times New Roman"/>
          <w:color w:val="auto"/>
          <w:szCs w:val="24"/>
          <w:lang w:val="es-CO"/>
        </w:rPr>
      </w:pPr>
      <w:r w:rsidRPr="003D47AB">
        <w:rPr>
          <w:rFonts w:eastAsia="Times New Roman" w:cs="Times New Roman"/>
          <w:b/>
          <w:bCs/>
          <w:color w:val="auto"/>
          <w:szCs w:val="24"/>
          <w:lang w:val="es-CO"/>
        </w:rPr>
        <w:t>OFICIO Nº 005875</w:t>
      </w:r>
    </w:p>
    <w:p w:rsidR="00731AE2" w:rsidRPr="003D47AB" w:rsidRDefault="00731AE2" w:rsidP="00731AE2">
      <w:pPr>
        <w:spacing w:line="240" w:lineRule="auto"/>
        <w:jc w:val="center"/>
        <w:rPr>
          <w:rFonts w:eastAsia="Times New Roman" w:cs="Times New Roman"/>
          <w:color w:val="auto"/>
          <w:szCs w:val="24"/>
          <w:lang w:val="es-CO"/>
        </w:rPr>
      </w:pPr>
      <w:r w:rsidRPr="003D47AB">
        <w:rPr>
          <w:rFonts w:eastAsia="Times New Roman" w:cs="Times New Roman"/>
          <w:b/>
          <w:bCs/>
          <w:color w:val="auto"/>
          <w:szCs w:val="24"/>
          <w:lang w:val="es-CO"/>
        </w:rPr>
        <w:t>09-03-2018</w:t>
      </w:r>
    </w:p>
    <w:p w:rsidR="00731AE2" w:rsidRPr="003D47AB" w:rsidRDefault="00731AE2" w:rsidP="00731AE2">
      <w:pPr>
        <w:spacing w:line="240" w:lineRule="auto"/>
        <w:jc w:val="center"/>
        <w:rPr>
          <w:rFonts w:eastAsia="Times New Roman" w:cs="Times New Roman"/>
          <w:color w:val="auto"/>
          <w:szCs w:val="24"/>
          <w:lang w:val="es-CO"/>
        </w:rPr>
      </w:pPr>
      <w:r w:rsidRPr="003D47AB">
        <w:rPr>
          <w:rFonts w:eastAsia="Times New Roman" w:cs="Times New Roman"/>
          <w:b/>
          <w:bCs/>
          <w:color w:val="auto"/>
          <w:szCs w:val="24"/>
          <w:lang w:val="es-CO"/>
        </w:rPr>
        <w:t>DIAN</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b/>
          <w:bCs/>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b/>
          <w:bCs/>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Subdirección de Gestión Normativa y Doctrina</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100208221- 000311</w:t>
      </w:r>
      <w:bookmarkStart w:id="0" w:name="_GoBack"/>
      <w:bookmarkEnd w:id="0"/>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Bogotá, D.C.</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Señor</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b/>
          <w:bCs/>
          <w:color w:val="auto"/>
          <w:szCs w:val="24"/>
          <w:lang w:val="es-CO"/>
        </w:rPr>
        <w:t>OSCAR PATIÑO JIMENEZ</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Calle 27 D Sur Número 27C-51</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Envigado – Antioquia</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proofErr w:type="spellStart"/>
      <w:r w:rsidRPr="003D47AB">
        <w:rPr>
          <w:rFonts w:eastAsia="Times New Roman" w:cs="Times New Roman"/>
          <w:b/>
          <w:bCs/>
          <w:color w:val="auto"/>
          <w:szCs w:val="24"/>
          <w:lang w:val="es-CO"/>
        </w:rPr>
        <w:t>Ref</w:t>
      </w:r>
      <w:proofErr w:type="spellEnd"/>
      <w:r w:rsidRPr="003D47AB">
        <w:rPr>
          <w:rFonts w:eastAsia="Times New Roman" w:cs="Times New Roman"/>
          <w:b/>
          <w:bCs/>
          <w:color w:val="auto"/>
          <w:szCs w:val="24"/>
          <w:lang w:val="es-CO"/>
        </w:rPr>
        <w:t>:</w:t>
      </w:r>
      <w:r w:rsidRPr="003D47AB">
        <w:rPr>
          <w:rFonts w:eastAsia="Times New Roman" w:cs="Times New Roman"/>
          <w:color w:val="auto"/>
          <w:szCs w:val="24"/>
          <w:lang w:val="es-CO"/>
        </w:rPr>
        <w:t> Radicado 100000299 del 25/01/2018</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Cordial saludo Sr. Patiño</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Pregunta usted:</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1. ¿Si una empresa realiza una inversión ambiental y logra el certificado de descuento tributario ante autoridad competente, podrá descontar de su impuesto de renta a cargo el 25% de la inversión, según el </w:t>
      </w:r>
      <w:hyperlink r:id="rId4" w:tooltip="Estatuto Tributario CETA" w:history="1">
        <w:r w:rsidRPr="003D47AB">
          <w:rPr>
            <w:rFonts w:eastAsia="Times New Roman" w:cs="Times New Roman"/>
            <w:color w:val="auto"/>
            <w:szCs w:val="24"/>
            <w:u w:val="single"/>
            <w:lang w:val="es-CO"/>
          </w:rPr>
          <w:t>artículo 255</w:t>
        </w:r>
      </w:hyperlink>
      <w:r w:rsidRPr="003D47AB">
        <w:rPr>
          <w:rFonts w:eastAsia="Times New Roman" w:cs="Times New Roman"/>
          <w:color w:val="auto"/>
          <w:szCs w:val="24"/>
          <w:lang w:val="es-CO"/>
        </w:rPr>
        <w:t> del E.T. y depreciar el 75%?</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El </w:t>
      </w:r>
      <w:hyperlink r:id="rId5" w:tooltip="Estatuto Tributario CETA" w:history="1">
        <w:r w:rsidRPr="003D47AB">
          <w:rPr>
            <w:rFonts w:eastAsia="Times New Roman" w:cs="Times New Roman"/>
            <w:color w:val="auto"/>
            <w:szCs w:val="24"/>
            <w:u w:val="single"/>
            <w:lang w:val="es-CO"/>
          </w:rPr>
          <w:t>artículo 255</w:t>
        </w:r>
      </w:hyperlink>
      <w:r w:rsidRPr="003D47AB">
        <w:rPr>
          <w:rFonts w:eastAsia="Times New Roman" w:cs="Times New Roman"/>
          <w:color w:val="auto"/>
          <w:szCs w:val="24"/>
          <w:lang w:val="es-CO"/>
        </w:rPr>
        <w:t> del E.T. prescribe:</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b/>
          <w:bCs/>
          <w:i/>
          <w:iCs/>
          <w:color w:val="auto"/>
          <w:szCs w:val="24"/>
          <w:lang w:val="es-CO"/>
        </w:rPr>
        <w:t>“</w:t>
      </w:r>
      <w:hyperlink r:id="rId6" w:tooltip="Estatuto Tributario CETA" w:history="1">
        <w:r w:rsidRPr="003D47AB">
          <w:rPr>
            <w:rFonts w:eastAsia="Times New Roman" w:cs="Times New Roman"/>
            <w:b/>
            <w:bCs/>
            <w:i/>
            <w:iCs/>
            <w:color w:val="auto"/>
            <w:szCs w:val="24"/>
            <w:u w:val="single"/>
            <w:lang w:val="es-CO"/>
          </w:rPr>
          <w:t>ART. 255</w:t>
        </w:r>
      </w:hyperlink>
      <w:r w:rsidRPr="003D47AB">
        <w:rPr>
          <w:rFonts w:eastAsia="Times New Roman" w:cs="Times New Roman"/>
          <w:b/>
          <w:bCs/>
          <w:i/>
          <w:iCs/>
          <w:color w:val="auto"/>
          <w:szCs w:val="24"/>
          <w:lang w:val="es-CO"/>
        </w:rPr>
        <w:t>.</w:t>
      </w:r>
      <w:r w:rsidRPr="003D47AB">
        <w:rPr>
          <w:rFonts w:eastAsia="Times New Roman" w:cs="Times New Roman"/>
          <w:i/>
          <w:iCs/>
          <w:color w:val="auto"/>
          <w:szCs w:val="24"/>
          <w:lang w:val="es-CO"/>
        </w:rPr>
        <w:t> Adicionado. L. 1819/2016, art. 103. </w:t>
      </w:r>
      <w:r w:rsidRPr="003D47AB">
        <w:rPr>
          <w:rFonts w:eastAsia="Times New Roman" w:cs="Times New Roman"/>
          <w:b/>
          <w:bCs/>
          <w:i/>
          <w:iCs/>
          <w:color w:val="auto"/>
          <w:szCs w:val="24"/>
          <w:lang w:val="es-CO"/>
        </w:rPr>
        <w:t>Descuento para inversiones realizadas en control, conservación y mejoramiento del medio ambiente. </w:t>
      </w:r>
      <w:r w:rsidRPr="003D47AB">
        <w:rPr>
          <w:rFonts w:eastAsia="Times New Roman" w:cs="Times New Roman"/>
          <w:i/>
          <w:iCs/>
          <w:color w:val="auto"/>
          <w:szCs w:val="24"/>
          <w:lang w:val="es-CO"/>
        </w:rPr>
        <w:t>Las personas jurídicas que realicen directamente inversiones en control, conservación y mejoramiento del medio ambiente, tendrán derecho a descontar de su impuesto sobre la renta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b/>
          <w:bCs/>
          <w:i/>
          <w:iCs/>
          <w:color w:val="auto"/>
          <w:szCs w:val="24"/>
          <w:lang w:val="es-CO"/>
        </w:rPr>
        <w:t>PAR.</w:t>
      </w:r>
      <w:r w:rsidRPr="003D47AB">
        <w:rPr>
          <w:rFonts w:eastAsia="Times New Roman" w:cs="Times New Roman"/>
          <w:i/>
          <w:iCs/>
          <w:color w:val="auto"/>
          <w:szCs w:val="24"/>
          <w:lang w:val="es-CO"/>
        </w:rPr>
        <w:t> El reglamento aplicable al </w:t>
      </w:r>
      <w:hyperlink r:id="rId7" w:tooltip="Estatuto Tributario CETA" w:history="1">
        <w:r w:rsidRPr="003D47AB">
          <w:rPr>
            <w:rFonts w:eastAsia="Times New Roman" w:cs="Times New Roman"/>
            <w:i/>
            <w:iCs/>
            <w:color w:val="auto"/>
            <w:szCs w:val="24"/>
            <w:u w:val="single"/>
            <w:lang w:val="es-CO"/>
          </w:rPr>
          <w:t>artículo 158-2</w:t>
        </w:r>
      </w:hyperlink>
      <w:r w:rsidRPr="003D47AB">
        <w:rPr>
          <w:rFonts w:eastAsia="Times New Roman" w:cs="Times New Roman"/>
          <w:i/>
          <w:iCs/>
          <w:color w:val="auto"/>
          <w:szCs w:val="24"/>
          <w:lang w:val="es-CO"/>
        </w:rPr>
        <w:t> del estatuto tributario antes de la entrada en vigencia de la presente ley, será aplicable a este artículo y la remisión contenida en la Ley 1715 de 2014 al </w:t>
      </w:r>
      <w:hyperlink r:id="rId8" w:tooltip="Estatuto Tributario CETA" w:history="1">
        <w:r w:rsidRPr="003D47AB">
          <w:rPr>
            <w:rFonts w:eastAsia="Times New Roman" w:cs="Times New Roman"/>
            <w:i/>
            <w:iCs/>
            <w:color w:val="auto"/>
            <w:szCs w:val="24"/>
            <w:u w:val="single"/>
            <w:lang w:val="es-CO"/>
          </w:rPr>
          <w:t>artículo 158-2</w:t>
        </w:r>
      </w:hyperlink>
      <w:r w:rsidRPr="003D47AB">
        <w:rPr>
          <w:rFonts w:eastAsia="Times New Roman" w:cs="Times New Roman"/>
          <w:i/>
          <w:iCs/>
          <w:color w:val="auto"/>
          <w:szCs w:val="24"/>
          <w:lang w:val="es-CO"/>
        </w:rPr>
        <w:t> del estatuto tributario, se entenderá hecha al presente artículo.</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lastRenderedPageBreak/>
        <w:t>A su turno el artículo 14 de la Ley 1715 de 2014 </w:t>
      </w:r>
      <w:r w:rsidRPr="003D47AB">
        <w:rPr>
          <w:rFonts w:eastAsia="Times New Roman" w:cs="Times New Roman"/>
          <w:i/>
          <w:iCs/>
          <w:color w:val="auto"/>
          <w:szCs w:val="24"/>
          <w:lang w:val="es-CO"/>
        </w:rPr>
        <w:t>“Por medio de la cual se regula la integración de las energías renovables no convencionales” </w:t>
      </w:r>
      <w:r w:rsidRPr="003D47AB">
        <w:rPr>
          <w:rFonts w:eastAsia="Times New Roman" w:cs="Times New Roman"/>
          <w:color w:val="auto"/>
          <w:szCs w:val="24"/>
          <w:lang w:val="es-CO"/>
        </w:rPr>
        <w:t>establece:</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b/>
          <w:bCs/>
          <w:i/>
          <w:iCs/>
          <w:color w:val="auto"/>
          <w:szCs w:val="24"/>
          <w:lang w:val="es-CO"/>
        </w:rPr>
        <w:t>“ARTÍCULO 14. INSTRUMENTOS PARA LA PROMOCIÓN DE LAS FNCE. INCENTIVO CONTABLE DEPRECIACIÓN ACELERADA DE ACTIVOS.</w:t>
      </w:r>
      <w:r w:rsidRPr="003D47AB">
        <w:rPr>
          <w:rFonts w:eastAsia="Times New Roman" w:cs="Times New Roman"/>
          <w:i/>
          <w:iCs/>
          <w:color w:val="auto"/>
          <w:szCs w:val="24"/>
          <w:lang w:val="es-CO"/>
        </w:rPr>
        <w:t> La actividad de generación a partir de FNCE, gozará del régimen de depreciación acelerada.</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 xml:space="preserve">La depreciación acelerada será aplicable a las máquinas, equipos y obras civiles necesarias para la </w:t>
      </w:r>
      <w:proofErr w:type="spellStart"/>
      <w:r w:rsidRPr="003D47AB">
        <w:rPr>
          <w:rFonts w:eastAsia="Times New Roman" w:cs="Times New Roman"/>
          <w:i/>
          <w:iCs/>
          <w:color w:val="auto"/>
          <w:szCs w:val="24"/>
          <w:lang w:val="es-CO"/>
        </w:rPr>
        <w:t>preinversión</w:t>
      </w:r>
      <w:proofErr w:type="spellEnd"/>
      <w:r w:rsidRPr="003D47AB">
        <w:rPr>
          <w:rFonts w:eastAsia="Times New Roman" w:cs="Times New Roman"/>
          <w:i/>
          <w:iCs/>
          <w:color w:val="auto"/>
          <w:szCs w:val="24"/>
          <w:lang w:val="es-CO"/>
        </w:rPr>
        <w:t>, inversión y operación de la generación con FNCE, que sean adquiridos y/o construidos, exclusivamente para ese fin, a partir de la vigencia de la presente ley. Para estos efectos, la tasa anual de depreciación será no mayor de veinte por ciento (20%) como tasa global anual. La tasa podrá ser variada anualmente por el titular del proyecto, previa comunicación a la DIAN, sin exceder el límite señalado en este artículo, excepto en los casos en que la ley autorice porcentajes globales mayores.</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Por otro lado, el artículo 23 de la Ley 383 de 1997 señala:</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b/>
          <w:bCs/>
          <w:i/>
          <w:iCs/>
          <w:color w:val="auto"/>
          <w:szCs w:val="24"/>
          <w:lang w:val="es-CO"/>
        </w:rPr>
        <w:t>“Artículo 23. Beneficios fiscales concurrentes.</w:t>
      </w:r>
      <w:r w:rsidRPr="003D47AB">
        <w:rPr>
          <w:rFonts w:eastAsia="Times New Roman" w:cs="Times New Roman"/>
          <w:i/>
          <w:iCs/>
          <w:color w:val="auto"/>
          <w:szCs w:val="24"/>
          <w:lang w:val="es-CO"/>
        </w:rPr>
        <w:t> La utilización de beneficios múltiples, basados en el mismo hecho económico, ocasiona para el contribuyente la pérdida del mayor beneficio, sin perjuicio de las sanciones por inexactitud a que haya lugar.</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Para los efectos de este artículo, se considera que únicamente son beneficios tributarios concurrentes los siguientes:</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a) Las deducciones autorizadas por la ley, que no tengan relación directa de causalidad con la renta;</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i/>
          <w:iCs/>
          <w:color w:val="auto"/>
          <w:szCs w:val="24"/>
          <w:lang w:val="es-CO"/>
        </w:rPr>
        <w:t>b) Los descuentos tributarios</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b/>
          <w:bCs/>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proofErr w:type="spellStart"/>
      <w:r w:rsidRPr="003D47AB">
        <w:rPr>
          <w:rFonts w:eastAsia="Times New Roman" w:cs="Times New Roman"/>
          <w:b/>
          <w:bCs/>
          <w:i/>
          <w:iCs/>
          <w:color w:val="auto"/>
          <w:szCs w:val="24"/>
          <w:lang w:val="es-CO"/>
        </w:rPr>
        <w:t>Parágrafoº</w:t>
      </w:r>
      <w:proofErr w:type="spellEnd"/>
      <w:r w:rsidRPr="003D47AB">
        <w:rPr>
          <w:rFonts w:eastAsia="Times New Roman" w:cs="Times New Roman"/>
          <w:b/>
          <w:bCs/>
          <w:i/>
          <w:iCs/>
          <w:color w:val="auto"/>
          <w:szCs w:val="24"/>
          <w:lang w:val="es-CO"/>
        </w:rPr>
        <w:t xml:space="preserve"> (Sic). </w:t>
      </w:r>
      <w:r w:rsidRPr="003D47AB">
        <w:rPr>
          <w:rFonts w:eastAsia="Times New Roman" w:cs="Times New Roman"/>
          <w:i/>
          <w:iCs/>
          <w:color w:val="auto"/>
          <w:szCs w:val="24"/>
          <w:lang w:val="es-CO"/>
        </w:rPr>
        <w:t>Para los mismos efectos, la inversión se considera un hecho económico diferente de la utilidad o renta que genera</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b/>
          <w:bCs/>
          <w:i/>
          <w:iCs/>
          <w:color w:val="auto"/>
          <w:szCs w:val="24"/>
          <w:lang w:val="es-CO"/>
        </w:rPr>
        <w:t> </w:t>
      </w:r>
    </w:p>
    <w:p w:rsidR="00731AE2" w:rsidRPr="003D47AB" w:rsidRDefault="00731AE2" w:rsidP="00731AE2">
      <w:pPr>
        <w:spacing w:line="240" w:lineRule="auto"/>
        <w:ind w:left="180"/>
        <w:rPr>
          <w:rFonts w:eastAsia="Times New Roman" w:cs="Times New Roman"/>
          <w:color w:val="auto"/>
          <w:szCs w:val="24"/>
          <w:lang w:val="es-CO"/>
        </w:rPr>
      </w:pPr>
      <w:r w:rsidRPr="003D47AB">
        <w:rPr>
          <w:rFonts w:eastAsia="Times New Roman" w:cs="Times New Roman"/>
          <w:b/>
          <w:bCs/>
          <w:i/>
          <w:iCs/>
          <w:color w:val="auto"/>
          <w:szCs w:val="24"/>
          <w:lang w:val="es-CO"/>
        </w:rPr>
        <w:t>Parágrafo 2º.</w:t>
      </w:r>
      <w:r w:rsidRPr="003D47AB">
        <w:rPr>
          <w:rFonts w:eastAsia="Times New Roman" w:cs="Times New Roman"/>
          <w:i/>
          <w:iCs/>
          <w:color w:val="auto"/>
          <w:szCs w:val="24"/>
          <w:lang w:val="es-CO"/>
        </w:rPr>
        <w:t> Lo dispuesto en el presente artículo no será aplicable a los ingresos provenientes de la relación laboral y legal o reglamentaria”</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xml:space="preserve">Como puede observarse, el artículo 14 de la Ley 1715 de 2014 refiere al incentivo contable de depreciación acelerada de activos, en el que se fija una tasa anual no mayor al veinte por ciento (20%) de depreciación, de la ley la cual será aplicada a las máquinas y obras civiles necesarias para la </w:t>
      </w:r>
      <w:proofErr w:type="spellStart"/>
      <w:r w:rsidRPr="003D47AB">
        <w:rPr>
          <w:rFonts w:eastAsia="Times New Roman" w:cs="Times New Roman"/>
          <w:color w:val="auto"/>
          <w:szCs w:val="24"/>
          <w:lang w:val="es-CO"/>
        </w:rPr>
        <w:t>preimpresión</w:t>
      </w:r>
      <w:proofErr w:type="spellEnd"/>
      <w:r w:rsidRPr="003D47AB">
        <w:rPr>
          <w:rFonts w:eastAsia="Times New Roman" w:cs="Times New Roman"/>
          <w:color w:val="auto"/>
          <w:szCs w:val="24"/>
          <w:lang w:val="es-CO"/>
        </w:rPr>
        <w:t>, inversión y operación de la generación con FNCE (fuentes no convencionales de energía) que sean adquiridos y construidos.</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De acuerdo con el artículo 1º de la denotada ley, el objeto de las disposiciones en ella contenida, es el de promover el desarrollo y la utilización de las fuentes no convencionales de energía, principalmente aquellas de carácter renovable, como medios necesarios para el desarrollo económico sostenible y la reducción de emisiones de gases de efecto invernadero.</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b/>
          <w:color w:val="auto"/>
          <w:szCs w:val="24"/>
          <w:lang w:val="es-CO"/>
        </w:rPr>
      </w:pPr>
      <w:r w:rsidRPr="003D47AB">
        <w:rPr>
          <w:rFonts w:eastAsia="Times New Roman" w:cs="Times New Roman"/>
          <w:color w:val="auto"/>
          <w:szCs w:val="24"/>
          <w:lang w:val="es-CO"/>
        </w:rPr>
        <w:t>Ahora bien, el beneficio tributario consagrado en el </w:t>
      </w:r>
      <w:hyperlink r:id="rId9" w:tooltip="Estatuto Tributario CETA" w:history="1">
        <w:r w:rsidRPr="003D47AB">
          <w:rPr>
            <w:rFonts w:eastAsia="Times New Roman" w:cs="Times New Roman"/>
            <w:color w:val="auto"/>
            <w:szCs w:val="24"/>
            <w:u w:val="single"/>
            <w:lang w:val="es-CO"/>
          </w:rPr>
          <w:t>artículo 255</w:t>
        </w:r>
      </w:hyperlink>
      <w:r w:rsidRPr="003D47AB">
        <w:rPr>
          <w:rFonts w:eastAsia="Times New Roman" w:cs="Times New Roman"/>
          <w:color w:val="auto"/>
          <w:szCs w:val="24"/>
          <w:lang w:val="es-CO"/>
        </w:rPr>
        <w:t xml:space="preserve"> del E.T., apunta al mismo hecho económico, esto es, las inversiones realizadas en el medio ambiente, </w:t>
      </w:r>
      <w:r w:rsidRPr="003D47AB">
        <w:rPr>
          <w:rFonts w:eastAsia="Times New Roman" w:cs="Times New Roman"/>
          <w:b/>
          <w:color w:val="auto"/>
          <w:szCs w:val="24"/>
          <w:lang w:val="es-CO"/>
        </w:rPr>
        <w:t xml:space="preserve">lo que hace que </w:t>
      </w:r>
      <w:r w:rsidRPr="003D47AB">
        <w:rPr>
          <w:rFonts w:eastAsia="Times New Roman" w:cs="Times New Roman"/>
          <w:b/>
          <w:color w:val="auto"/>
          <w:szCs w:val="24"/>
          <w:lang w:val="es-CO"/>
        </w:rPr>
        <w:lastRenderedPageBreak/>
        <w:t>una aplicación simultánea de tales beneficios, contraríe la prohibición expresa del artículo 23 de la Ley 383 de 1997, y en consecuencia ocasiona para el contribuyente la pérdida del mayor beneficio, sin perjuicio de las sanciones por inexactitud a que haya lugar.</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No debe perderse de vista que el Ministerio del Medio Ambiente es la entidad encargada de certificar a qué beneficio se hacen acreedoras las personas jurídicas que realizan directamente inversión en el medio ambiente.</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En los anteriores términos se resuelve su consulta.</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Atentamente,</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 </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b/>
          <w:bCs/>
          <w:color w:val="auto"/>
          <w:szCs w:val="24"/>
          <w:lang w:val="es-CO"/>
        </w:rPr>
        <w:t>PEDRO PABLO CONTRERAS CAMARGO</w:t>
      </w:r>
    </w:p>
    <w:p w:rsidR="00731AE2" w:rsidRPr="003D47AB" w:rsidRDefault="00731AE2" w:rsidP="00731AE2">
      <w:pPr>
        <w:spacing w:line="240" w:lineRule="auto"/>
        <w:rPr>
          <w:rFonts w:eastAsia="Times New Roman" w:cs="Times New Roman"/>
          <w:color w:val="auto"/>
          <w:szCs w:val="24"/>
          <w:lang w:val="es-CO"/>
        </w:rPr>
      </w:pPr>
      <w:r w:rsidRPr="003D47AB">
        <w:rPr>
          <w:rFonts w:eastAsia="Times New Roman" w:cs="Times New Roman"/>
          <w:color w:val="auto"/>
          <w:szCs w:val="24"/>
          <w:lang w:val="es-CO"/>
        </w:rPr>
        <w:t>Subdirector de Gestión Normativa y Doctrina</w:t>
      </w:r>
    </w:p>
    <w:p w:rsidR="00147980" w:rsidRPr="003D47AB" w:rsidRDefault="00147980">
      <w:pPr>
        <w:rPr>
          <w:rFonts w:cs="Times New Roman"/>
          <w:color w:val="auto"/>
          <w:szCs w:val="24"/>
          <w:lang w:val="es-CO"/>
        </w:rPr>
      </w:pPr>
    </w:p>
    <w:sectPr w:rsidR="00147980" w:rsidRPr="003D47AB" w:rsidSect="0088163A">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2"/>
    <w:rsid w:val="00147980"/>
    <w:rsid w:val="003362BA"/>
    <w:rsid w:val="003D47AB"/>
    <w:rsid w:val="00731AE2"/>
    <w:rsid w:val="0088163A"/>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9702F-A6E2-4F73-882C-136ABF7F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2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28" TargetMode="External"/><Relationship Id="rId11" Type="http://schemas.openxmlformats.org/officeDocument/2006/relationships/theme" Target="theme/theme1.xml"/><Relationship Id="rId5" Type="http://schemas.openxmlformats.org/officeDocument/2006/relationships/hyperlink" Target="https://www.ceta.org.co/html/vista_de_un_articulo.asp?Norma=328" TargetMode="External"/><Relationship Id="rId10" Type="http://schemas.openxmlformats.org/officeDocument/2006/relationships/fontTable" Target="fontTable.xml"/><Relationship Id="rId4" Type="http://schemas.openxmlformats.org/officeDocument/2006/relationships/hyperlink" Target="https://www.ceta.org.co/html/vista_de_un_articulo.asp?Norma=328" TargetMode="External"/><Relationship Id="rId9" Type="http://schemas.openxmlformats.org/officeDocument/2006/relationships/hyperlink" Target="https://www.ceta.org.co/html/vista_de_un_articulo.asp?Norma=3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2018-07-15T17:21:00Z</dcterms:created>
  <dcterms:modified xsi:type="dcterms:W3CDTF">2018-07-20T01:02:00Z</dcterms:modified>
</cp:coreProperties>
</file>