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EA" w:rsidRPr="00765AFC" w:rsidRDefault="002270EA" w:rsidP="002270EA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OFICIO Nº 001556</w:t>
      </w:r>
    </w:p>
    <w:p w:rsidR="002270EA" w:rsidRPr="00765AFC" w:rsidRDefault="002270EA" w:rsidP="002270EA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29-06-2018</w:t>
      </w:r>
    </w:p>
    <w:p w:rsidR="002270EA" w:rsidRPr="00765AFC" w:rsidRDefault="002270EA" w:rsidP="002270EA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DIAN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Coordinación de Relatoría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Bogotá, D.C.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100221330- 1556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Doctor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JUAN CARLOS YATE REYES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Inspector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Coordinación Penal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Subdirección de Gestión de Representación Externa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Dirección de Gestión Jurídica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UAE-Dirección de Impuestos y Aduanas Nacionales –DIAN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Carrera 8 No 6 C – 38 Edificio San Agustín Piso 4</w:t>
      </w:r>
    </w:p>
    <w:p w:rsidR="002270EA" w:rsidRPr="00765AFC" w:rsidRDefault="002716AC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>
        <w:fldChar w:fldCharType="begin"/>
      </w:r>
      <w:r w:rsidRPr="002716AC">
        <w:rPr>
          <w:lang w:val="es-CO"/>
        </w:rPr>
        <w:instrText xml:space="preserve"> HYPERLINK "mailto:jyater@dian.gov.co" </w:instrText>
      </w:r>
      <w:r>
        <w:fldChar w:fldCharType="separate"/>
      </w:r>
      <w:r w:rsidR="002270EA" w:rsidRPr="00765AFC">
        <w:rPr>
          <w:rFonts w:eastAsia="Times New Roman" w:cs="Times New Roman"/>
          <w:color w:val="auto"/>
          <w:szCs w:val="24"/>
          <w:u w:val="single"/>
          <w:lang w:val="es-CO"/>
        </w:rPr>
        <w:t>jyater@dian.gov.co</w:t>
      </w:r>
      <w:r>
        <w:rPr>
          <w:rFonts w:eastAsia="Times New Roman" w:cs="Times New Roman"/>
          <w:color w:val="auto"/>
          <w:szCs w:val="24"/>
          <w:u w:val="single"/>
          <w:lang w:val="es-CO"/>
        </w:rPr>
        <w:fldChar w:fldCharType="end"/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Bogotá, D.C.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proofErr w:type="spellStart"/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Ref</w:t>
      </w:r>
      <w:proofErr w:type="spellEnd"/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:</w:t>
      </w:r>
      <w:r w:rsidRPr="00765AFC">
        <w:rPr>
          <w:rFonts w:eastAsia="Times New Roman" w:cs="Times New Roman"/>
          <w:color w:val="auto"/>
          <w:szCs w:val="24"/>
          <w:lang w:val="es-CO"/>
        </w:rPr>
        <w:t> Radicado 000182 del 13/04/2018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Cordial saludo, doctor Yate: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De conformidad con lo establecido por el numeral 1 del artículo 30 de la Resolución 11 de 2008 de la Dirección de Impuestos y Aduanas Nacionales, modificado por el artículo 15 de la Resolución 2633 de 2011 de la misma Entidad, y en desarrollo de lo previsto por el artículo 20 del Decreto 4048 de 2008, corresponde a la Coordinación de Relatoría de la Subdirección de Gestión Normativa y Doctrina analizar las consultas escritas que se formulen sobre la interpretación y aplicación de las normas tributarias, aduaneras y cambiarias a fin de dar respuesta a las mismas con base en la doctrina existente sobre el tema que ha sido incorporada en el sistema de información dispuesto para el efecto.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En la solicitud de la referencia consulta ¿En el “Certificado de Ingresos y Retenciones por Rentas de Trabajo y Pensiones Año Gravable 2017” se deben reportar como ingresos del trabajador las cesantías e intereses de cesantías consignados al fondo de cesantías? y ¿El trabajador debe reconocer como ingreso las cesantías e intereses de cesantías en el año gravable en que el empleador las consigna al fondo de cesantías o en el año gravable en que se retiran del fondo?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Al respecto consideramos pertinente la siguiente normatividad vigente, la cual anexamos con el fin de que sea examinada por el peticionario para determinar su aplicabilidad al caso objeto de consulta:</w:t>
      </w:r>
    </w:p>
    <w:p w:rsidR="002270EA" w:rsidRPr="00765AFC" w:rsidRDefault="002270EA" w:rsidP="002270EA">
      <w:pPr>
        <w:spacing w:line="240" w:lineRule="auto"/>
        <w:ind w:left="450" w:hanging="27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 w:hanging="27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      </w:t>
      </w:r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Estatuto Tributario, Decreto Ley 624 del 30 de marzo de 1989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lastRenderedPageBreak/>
        <w:t>“</w:t>
      </w:r>
      <w:r w:rsidR="002716AC">
        <w:fldChar w:fldCharType="begin"/>
      </w:r>
      <w:r w:rsidR="002716AC" w:rsidRPr="002716AC">
        <w:rPr>
          <w:lang w:val="es-CO"/>
        </w:rPr>
        <w:instrText xml:space="preserve"> HYPERLINK "https://www.ceta.org.co/html/vista_de_un_articulo.asp?Norma=57" \o "Estatuto Tributario CETA" </w:instrText>
      </w:r>
      <w:r w:rsidR="002716AC">
        <w:fldChar w:fldCharType="separate"/>
      </w:r>
      <w:r w:rsidRPr="00765AFC">
        <w:rPr>
          <w:rFonts w:eastAsia="Times New Roman" w:cs="Times New Roman"/>
          <w:b/>
          <w:bCs/>
          <w:i/>
          <w:iCs/>
          <w:color w:val="auto"/>
          <w:szCs w:val="24"/>
          <w:u w:val="single"/>
          <w:lang w:val="es-CO"/>
        </w:rPr>
        <w:t>Art. 27</w:t>
      </w:r>
      <w:r w:rsidR="002716AC">
        <w:rPr>
          <w:rFonts w:eastAsia="Times New Roman" w:cs="Times New Roman"/>
          <w:b/>
          <w:bCs/>
          <w:i/>
          <w:iCs/>
          <w:color w:val="auto"/>
          <w:szCs w:val="24"/>
          <w:u w:val="single"/>
          <w:lang w:val="es-CO"/>
        </w:rPr>
        <w:fldChar w:fldCharType="end"/>
      </w:r>
      <w:r w:rsidRPr="00765AFC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.- Modificado. L. 1819/2016, art. 27. Realización del ingreso para los no obligados a llevar contabilidad.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Para</w:t>
      </w:r>
      <w:r w:rsidRPr="00765AFC">
        <w:rPr>
          <w:rFonts w:eastAsia="Times New Roman" w:cs="Times New Roman"/>
          <w:b/>
          <w:bCs/>
          <w:i/>
          <w:iCs/>
          <w:color w:val="auto"/>
          <w:szCs w:val="24"/>
          <w:u w:val="single"/>
          <w:lang w:val="es-CO"/>
        </w:rPr>
        <w:t>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los contribuyentes no obligados a llevar contabilidad se entienden realizados los ingresos cuando se reciben efectivamente en dinero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 o en especie,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en forma que equivalga legalmente a un pago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, o cuando el derecho a exigirlos se extingue por cualquier otro modo legal distinto al pago, como en el caso de las compensaciones o confusiones. Por consiguiente, los ingresos recibidos por anticipado, que correspondan a rentas no realizadas, sólo se gravan en el año o período gravable en que se realicen.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Se exceptúan de la norma anterior: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1. Los ingresos por concepto de dividendos o participaciones en utilidades, se entienden realizados por los respectivos accionistas, socios, comuneros, asociados, suscriptores o similares, cuando les hayan sido abonados en cuenta en calidad de exigibles. En el caso del numeral 2º del </w:t>
      </w:r>
      <w:r w:rsidR="002716AC">
        <w:fldChar w:fldCharType="begin"/>
      </w:r>
      <w:r w:rsidR="002716AC" w:rsidRPr="002716AC">
        <w:rPr>
          <w:lang w:val="es-CO"/>
        </w:rPr>
        <w:instrText xml:space="preserve"> HYPERLINK "https://www.ceta.org.co/html/vista_de_un_articulo.asp?Norma=60" \o "</w:instrText>
      </w:r>
      <w:r w:rsidR="002716AC" w:rsidRPr="002716AC">
        <w:rPr>
          <w:lang w:val="es-CO"/>
        </w:rPr>
        <w:instrText xml:space="preserve">Estatuto Tributario CETA" </w:instrText>
      </w:r>
      <w:r w:rsidR="002716AC">
        <w:fldChar w:fldCharType="separate"/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artículo 30</w:t>
      </w:r>
      <w:r w:rsidR="002716A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fldChar w:fldCharType="end"/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 de este estatuto, se entenderá que dichos dividendos o participaciones en utilidades se realizan al momento de la transferencia de las utilidades, y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2. Los ingresos prevenientes de la enajenación de bienes inmuebles, se entienden realizados en la fecha de la escritura pública correspondiente.” </w:t>
      </w:r>
      <w:r w:rsidRPr="00765AFC">
        <w:rPr>
          <w:rFonts w:eastAsia="Times New Roman" w:cs="Times New Roman"/>
          <w:color w:val="auto"/>
          <w:szCs w:val="24"/>
          <w:lang w:val="es-CO"/>
        </w:rPr>
        <w:t>(subrayado fuera de texto)</w:t>
      </w:r>
    </w:p>
    <w:p w:rsidR="002270EA" w:rsidRPr="00765AFC" w:rsidRDefault="002270EA" w:rsidP="002270EA">
      <w:pPr>
        <w:spacing w:line="240" w:lineRule="auto"/>
        <w:ind w:left="450" w:hanging="27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 w:hanging="27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      </w:t>
      </w:r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Decreto Único Reglamentario en materia tributaria 1625 de 2016, artículo 1.2.1.20.7. modificado por el artículo 6 del Decreto Reglamentario 2250 de 2017: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“ART. 1.2.1.20.7.- Realización de las cesantías.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A partir del año gravable 2017 el auxilio de cesantías y los intereses sobre cesantías se entenderán realizados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 en el momento del pago del empleador directo al trabajador o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en el momento de consignación al fondo de cesantías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.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PAR. 1º-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 En el caso del auxilio de cesantía del régimen tradicional del Código Sustantivo del Trabajo, contenido en el capítulo VII, título VIII, parte primera, y demás disposiciones que lo modifiquen o adicionen, se entenderá realizado con ocasión del reconocimiento por parte del empleador.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Para tales efectos, el trabajador reconocerá cada año gravable, el ingreso por auxilio de cesantías, tomando la diferencia resultante entre los saldos a treinta y uno (31) de diciembre del año gravable materia de declaración del impuesto sobre la renta y complementario y el del año inmediatamente anterior. En caso de retiros parciales antes del treinta y uno (31) de diciembre de cada año, el valor correspondiente se adicionará.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PAR. 2º-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El tratamiento aquí previsto para el auxilio de cesantías y los intereses sobre cesantías, dará lugar a la aplicación de la renta exenta que establece el numeral 4 del </w:t>
      </w:r>
      <w:r w:rsidR="002716AC">
        <w:fldChar w:fldCharType="begin"/>
      </w:r>
      <w:r w:rsidR="002716AC" w:rsidRPr="002716AC">
        <w:rPr>
          <w:lang w:val="es-CO"/>
        </w:rPr>
        <w:instrText xml:space="preserve"> HYPERLINK "https://www.ceta.org.co/html/vista_de_un_articulo.asp?Norma=272" \o</w:instrText>
      </w:r>
      <w:r w:rsidR="002716AC" w:rsidRPr="002716AC">
        <w:rPr>
          <w:lang w:val="es-CO"/>
        </w:rPr>
        <w:instrText xml:space="preserve"> "Estatuto Tributario CETA" </w:instrText>
      </w:r>
      <w:r w:rsidR="002716AC">
        <w:fldChar w:fldCharType="separate"/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artículo 206</w:t>
      </w:r>
      <w:r w:rsidR="002716A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fldChar w:fldCharType="end"/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 del estatuto tributario, así como al reconocimiento patrimonial de los mismos, cuando haya lugar a ello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.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2716AC" w:rsidRDefault="002270EA" w:rsidP="002270EA">
      <w:pPr>
        <w:spacing w:line="240" w:lineRule="auto"/>
        <w:ind w:left="450"/>
        <w:rPr>
          <w:rFonts w:eastAsia="Times New Roman" w:cs="Times New Roman"/>
          <w:b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PAR. 3º-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Los montos acumulados del auxilio de cesantías a treinta y uno (31) de diciembre del 2016 en los fondos de cesantías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 xml:space="preserve"> o en las cuentas del patrono para aquellos 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lastRenderedPageBreak/>
        <w:t>trabajadores cobijados con el régimen tradicional contenido en el capítulo VII, título VIII parte Primera del Código Sustantivo del Trabajo, </w:t>
      </w: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al momento del retiro del fondo de cesantías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 o pago por parte del empleador</w:t>
      </w:r>
      <w:r w:rsidRPr="002716AC">
        <w:rPr>
          <w:rFonts w:eastAsia="Times New Roman" w:cs="Times New Roman"/>
          <w:b/>
          <w:i/>
          <w:iCs/>
          <w:color w:val="auto"/>
          <w:szCs w:val="24"/>
          <w:lang w:val="es-CO"/>
        </w:rPr>
        <w:t>, </w:t>
      </w:r>
      <w:r w:rsidRPr="002716AC">
        <w:rPr>
          <w:rFonts w:eastAsia="Times New Roman" w:cs="Times New Roman"/>
          <w:b/>
          <w:i/>
          <w:iCs/>
          <w:color w:val="auto"/>
          <w:szCs w:val="24"/>
          <w:u w:val="single"/>
          <w:lang w:val="es-CO"/>
        </w:rPr>
        <w:t>mantendrán el tratamiento previsto en el numeral 4 del </w:t>
      </w:r>
      <w:r w:rsidR="002716AC" w:rsidRPr="002716AC">
        <w:rPr>
          <w:b/>
        </w:rPr>
        <w:fldChar w:fldCharType="begin"/>
      </w:r>
      <w:r w:rsidR="002716AC" w:rsidRPr="002716AC">
        <w:rPr>
          <w:b/>
          <w:lang w:val="es-CO"/>
        </w:rPr>
        <w:instrText xml:space="preserve"> HYPERLINK "https://www.ceta.org.co/html/vista_de_un_articulo.asp?Norma=272" \o "Estatuto Tributario CETA" </w:instrText>
      </w:r>
      <w:r w:rsidR="002716AC" w:rsidRPr="002716AC">
        <w:rPr>
          <w:b/>
        </w:rPr>
        <w:fldChar w:fldCharType="separate"/>
      </w:r>
      <w:r w:rsidRPr="002716AC">
        <w:rPr>
          <w:rFonts w:eastAsia="Times New Roman" w:cs="Times New Roman"/>
          <w:b/>
          <w:i/>
          <w:iCs/>
          <w:color w:val="auto"/>
          <w:szCs w:val="24"/>
          <w:u w:val="single"/>
          <w:lang w:val="es-CO"/>
        </w:rPr>
        <w:t>artículo 206</w:t>
      </w:r>
      <w:r w:rsidR="002716AC" w:rsidRPr="002716AC">
        <w:rPr>
          <w:rFonts w:eastAsia="Times New Roman" w:cs="Times New Roman"/>
          <w:b/>
          <w:i/>
          <w:iCs/>
          <w:color w:val="auto"/>
          <w:szCs w:val="24"/>
          <w:u w:val="single"/>
          <w:lang w:val="es-CO"/>
        </w:rPr>
        <w:fldChar w:fldCharType="end"/>
      </w:r>
      <w:r w:rsidRPr="002716AC">
        <w:rPr>
          <w:rFonts w:eastAsia="Times New Roman" w:cs="Times New Roman"/>
          <w:b/>
          <w:i/>
          <w:iCs/>
          <w:color w:val="auto"/>
          <w:szCs w:val="24"/>
          <w:u w:val="single"/>
          <w:lang w:val="es-CO"/>
        </w:rPr>
        <w:t> del estatuto tributario sin que sea aplicable lo dispuesto en el inciso segundo del </w:t>
      </w:r>
      <w:r w:rsidR="002716AC" w:rsidRPr="002716AC">
        <w:rPr>
          <w:b/>
        </w:rPr>
        <w:fldChar w:fldCharType="begin"/>
      </w:r>
      <w:r w:rsidR="002716AC" w:rsidRPr="002716AC">
        <w:rPr>
          <w:b/>
          <w:lang w:val="es-CO"/>
        </w:rPr>
        <w:instrText xml:space="preserve"> HYPERLINK "https://www.ceta.org.co/html/vista_de_un_articulo.asp?Norma=415" \o "Estatuto Tributario CETA" </w:instrText>
      </w:r>
      <w:r w:rsidR="002716AC" w:rsidRPr="002716AC">
        <w:rPr>
          <w:b/>
        </w:rPr>
        <w:fldChar w:fldCharType="separate"/>
      </w:r>
      <w:r w:rsidRPr="002716AC">
        <w:rPr>
          <w:rFonts w:eastAsia="Times New Roman" w:cs="Times New Roman"/>
          <w:b/>
          <w:i/>
          <w:iCs/>
          <w:color w:val="auto"/>
          <w:szCs w:val="24"/>
          <w:u w:val="single"/>
          <w:lang w:val="es-CO"/>
        </w:rPr>
        <w:t>artículo 336</w:t>
      </w:r>
      <w:r w:rsidR="002716AC" w:rsidRPr="002716AC">
        <w:rPr>
          <w:rFonts w:eastAsia="Times New Roman" w:cs="Times New Roman"/>
          <w:b/>
          <w:i/>
          <w:iCs/>
          <w:color w:val="auto"/>
          <w:szCs w:val="24"/>
          <w:u w:val="single"/>
          <w:lang w:val="es-CO"/>
        </w:rPr>
        <w:fldChar w:fldCharType="end"/>
      </w:r>
      <w:r w:rsidRPr="002716AC">
        <w:rPr>
          <w:rFonts w:eastAsia="Times New Roman" w:cs="Times New Roman"/>
          <w:b/>
          <w:i/>
          <w:iCs/>
          <w:color w:val="auto"/>
          <w:szCs w:val="24"/>
          <w:u w:val="single"/>
          <w:lang w:val="es-CO"/>
        </w:rPr>
        <w:t> del estatuto tributario</w:t>
      </w:r>
      <w:r w:rsidRPr="002716AC">
        <w:rPr>
          <w:rFonts w:eastAsia="Times New Roman" w:cs="Times New Roman"/>
          <w:b/>
          <w:i/>
          <w:iCs/>
          <w:color w:val="auto"/>
          <w:szCs w:val="24"/>
          <w:lang w:val="es-CO"/>
        </w:rPr>
        <w:t>.</w:t>
      </w:r>
    </w:p>
    <w:p w:rsidR="002270EA" w:rsidRPr="002716AC" w:rsidRDefault="002270EA" w:rsidP="002270EA">
      <w:pPr>
        <w:spacing w:line="240" w:lineRule="auto"/>
        <w:ind w:left="450"/>
        <w:rPr>
          <w:rFonts w:eastAsia="Times New Roman" w:cs="Times New Roman"/>
          <w:b/>
          <w:color w:val="auto"/>
          <w:szCs w:val="24"/>
          <w:lang w:val="es-CO"/>
        </w:rPr>
      </w:pPr>
      <w:r w:rsidRPr="002716AC">
        <w:rPr>
          <w:rFonts w:eastAsia="Times New Roman" w:cs="Times New Roman"/>
          <w:b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ind w:left="450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i/>
          <w:iCs/>
          <w:color w:val="auto"/>
          <w:szCs w:val="24"/>
          <w:u w:val="single"/>
          <w:lang w:val="es-CO"/>
        </w:rPr>
        <w:t>Cuando se realicen retiros parciales, estos se entenderán efectuados con cargo al saldo acumulado a que se refiere el inciso anterior, hasta que se agote.</w:t>
      </w:r>
      <w:r w:rsidRPr="00765AFC">
        <w:rPr>
          <w:rFonts w:eastAsia="Times New Roman" w:cs="Times New Roman"/>
          <w:i/>
          <w:iCs/>
          <w:color w:val="auto"/>
          <w:szCs w:val="24"/>
          <w:lang w:val="es-CO"/>
        </w:rPr>
        <w:t>” </w:t>
      </w:r>
      <w:r w:rsidRPr="00765AFC">
        <w:rPr>
          <w:rFonts w:eastAsia="Times New Roman" w:cs="Times New Roman"/>
          <w:color w:val="auto"/>
          <w:szCs w:val="24"/>
          <w:lang w:val="es-CO"/>
        </w:rPr>
        <w:t>(subrayado fuera de texto)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Atentamente,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 xml:space="preserve">DENNYS GUTIÉRREZ </w:t>
      </w:r>
      <w:proofErr w:type="spellStart"/>
      <w:r w:rsidRPr="00765AFC">
        <w:rPr>
          <w:rFonts w:eastAsia="Times New Roman" w:cs="Times New Roman"/>
          <w:b/>
          <w:bCs/>
          <w:color w:val="auto"/>
          <w:szCs w:val="24"/>
          <w:lang w:val="es-CO"/>
        </w:rPr>
        <w:t>GUTIÉRREZ</w:t>
      </w:r>
      <w:proofErr w:type="spellEnd"/>
    </w:p>
    <w:p w:rsidR="002270EA" w:rsidRPr="00765AFC" w:rsidRDefault="002270EA" w:rsidP="002270EA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Jefe Coordinación de Relatoría (A)</w:t>
      </w:r>
    </w:p>
    <w:p w:rsidR="002270EA" w:rsidRPr="00765AFC" w:rsidRDefault="002270EA" w:rsidP="002270EA">
      <w:pPr>
        <w:spacing w:after="285"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65AFC">
        <w:rPr>
          <w:rFonts w:eastAsia="Times New Roman" w:cs="Times New Roman"/>
          <w:color w:val="auto"/>
          <w:szCs w:val="24"/>
          <w:lang w:val="es-CO"/>
        </w:rPr>
        <w:t> </w:t>
      </w:r>
      <w:bookmarkStart w:id="0" w:name="_GoBack"/>
      <w:bookmarkEnd w:id="0"/>
    </w:p>
    <w:p w:rsidR="00147980" w:rsidRPr="00765AFC" w:rsidRDefault="00147980">
      <w:pPr>
        <w:rPr>
          <w:rFonts w:cs="Times New Roman"/>
          <w:color w:val="auto"/>
          <w:szCs w:val="24"/>
          <w:lang w:val="es-CO"/>
        </w:rPr>
      </w:pPr>
    </w:p>
    <w:sectPr w:rsidR="00147980" w:rsidRPr="00765AFC" w:rsidSect="00765AF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EA"/>
    <w:rsid w:val="00147980"/>
    <w:rsid w:val="002270EA"/>
    <w:rsid w:val="002716AC"/>
    <w:rsid w:val="00765AFC"/>
    <w:rsid w:val="00B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C0316-9904-43E6-AE26-74D101C8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2018-07-19T03:33:00Z</dcterms:created>
  <dcterms:modified xsi:type="dcterms:W3CDTF">2018-07-20T17:02:00Z</dcterms:modified>
</cp:coreProperties>
</file>