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E8" w:rsidRPr="00B829E8" w:rsidRDefault="00B829E8" w:rsidP="00B829E8">
      <w:pPr>
        <w:spacing w:after="0" w:line="240" w:lineRule="auto"/>
        <w:jc w:val="center"/>
        <w:rPr>
          <w:rFonts w:ascii="Times New Roman" w:eastAsia="Times New Roman" w:hAnsi="Times New Roman" w:cs="Times New Roman"/>
          <w:szCs w:val="24"/>
          <w:lang w:val="es-CO"/>
        </w:rPr>
      </w:pPr>
      <w:r w:rsidRPr="00B829E8">
        <w:rPr>
          <w:rFonts w:ascii="Times New Roman" w:eastAsia="Times New Roman" w:hAnsi="Times New Roman" w:cs="Times New Roman"/>
          <w:bCs/>
          <w:szCs w:val="24"/>
          <w:lang w:val="es-CO"/>
        </w:rPr>
        <w:t>OFICIO Nº 000785</w:t>
      </w:r>
    </w:p>
    <w:p w:rsidR="00B829E8" w:rsidRPr="00B829E8" w:rsidRDefault="00B829E8" w:rsidP="00B829E8">
      <w:pPr>
        <w:spacing w:after="0" w:line="240" w:lineRule="auto"/>
        <w:jc w:val="center"/>
        <w:rPr>
          <w:rFonts w:ascii="Times New Roman" w:eastAsia="Times New Roman" w:hAnsi="Times New Roman" w:cs="Times New Roman"/>
          <w:szCs w:val="24"/>
          <w:lang w:val="es-CO"/>
        </w:rPr>
      </w:pPr>
      <w:r w:rsidRPr="00B829E8">
        <w:rPr>
          <w:rFonts w:ascii="Times New Roman" w:eastAsia="Times New Roman" w:hAnsi="Times New Roman" w:cs="Times New Roman"/>
          <w:bCs/>
          <w:szCs w:val="24"/>
          <w:lang w:val="es-CO"/>
        </w:rPr>
        <w:t>22-05-2018</w:t>
      </w:r>
    </w:p>
    <w:p w:rsidR="00B829E8" w:rsidRPr="00B829E8" w:rsidRDefault="00B829E8" w:rsidP="00B829E8">
      <w:pPr>
        <w:spacing w:after="0" w:line="240" w:lineRule="auto"/>
        <w:jc w:val="center"/>
        <w:rPr>
          <w:rFonts w:ascii="Times New Roman" w:eastAsia="Times New Roman" w:hAnsi="Times New Roman" w:cs="Times New Roman"/>
          <w:szCs w:val="24"/>
          <w:lang w:val="es-CO"/>
        </w:rPr>
      </w:pPr>
      <w:r w:rsidRPr="00B829E8">
        <w:rPr>
          <w:rFonts w:ascii="Times New Roman" w:eastAsia="Times New Roman" w:hAnsi="Times New Roman" w:cs="Times New Roman"/>
          <w:bCs/>
          <w:szCs w:val="24"/>
          <w:lang w:val="es-CO"/>
        </w:rPr>
        <w:t>DIAN</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Subdirección de Gestión Normativa y Doctrina</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Bogotá, D.C.</w:t>
      </w:r>
      <w:bookmarkStart w:id="0" w:name="_GoBack"/>
      <w:bookmarkEnd w:id="0"/>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100208221- 000785</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Señora</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bCs/>
          <w:szCs w:val="24"/>
          <w:lang w:val="es-CO"/>
        </w:rPr>
        <w:t>ALBA LUCÍA MELGAREJO SÁENZ</w:t>
      </w:r>
    </w:p>
    <w:p w:rsidR="00B829E8" w:rsidRPr="00B829E8" w:rsidRDefault="00B829E8" w:rsidP="00B829E8">
      <w:pPr>
        <w:spacing w:after="0" w:line="240" w:lineRule="auto"/>
        <w:jc w:val="both"/>
        <w:rPr>
          <w:rFonts w:ascii="Times New Roman" w:eastAsia="Times New Roman" w:hAnsi="Times New Roman" w:cs="Times New Roman"/>
          <w:szCs w:val="24"/>
        </w:rPr>
      </w:pPr>
      <w:proofErr w:type="spellStart"/>
      <w:r w:rsidRPr="00B829E8">
        <w:rPr>
          <w:rFonts w:ascii="Times New Roman" w:eastAsia="Times New Roman" w:hAnsi="Times New Roman" w:cs="Times New Roman"/>
          <w:szCs w:val="24"/>
        </w:rPr>
        <w:t>Cra</w:t>
      </w:r>
      <w:proofErr w:type="spellEnd"/>
      <w:r w:rsidRPr="00B829E8">
        <w:rPr>
          <w:rFonts w:ascii="Times New Roman" w:eastAsia="Times New Roman" w:hAnsi="Times New Roman" w:cs="Times New Roman"/>
          <w:szCs w:val="24"/>
        </w:rPr>
        <w:t>. 103 # 131 A 09 AP 102</w:t>
      </w:r>
    </w:p>
    <w:p w:rsidR="00B829E8" w:rsidRPr="00B829E8" w:rsidRDefault="00B829E8" w:rsidP="00B829E8">
      <w:pPr>
        <w:spacing w:after="0" w:line="240" w:lineRule="auto"/>
        <w:jc w:val="both"/>
        <w:rPr>
          <w:rFonts w:ascii="Times New Roman" w:eastAsia="Times New Roman" w:hAnsi="Times New Roman" w:cs="Times New Roman"/>
          <w:szCs w:val="24"/>
        </w:rPr>
      </w:pPr>
      <w:hyperlink r:id="rId4" w:history="1">
        <w:r w:rsidRPr="00B829E8">
          <w:rPr>
            <w:rFonts w:ascii="Times New Roman" w:eastAsia="Times New Roman" w:hAnsi="Times New Roman" w:cs="Times New Roman"/>
            <w:szCs w:val="24"/>
            <w:u w:val="single"/>
          </w:rPr>
          <w:t>albamelgarejosaenz@gmail.com</w:t>
        </w:r>
      </w:hyperlink>
    </w:p>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szCs w:val="24"/>
        </w:rPr>
        <w:t>Bogotá, D.C.</w:t>
      </w:r>
    </w:p>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szCs w:val="24"/>
        </w:rPr>
        <w:t> </w:t>
      </w:r>
    </w:p>
    <w:p w:rsidR="00B829E8" w:rsidRPr="00B829E8" w:rsidRDefault="00B829E8" w:rsidP="00B829E8">
      <w:pPr>
        <w:spacing w:after="0" w:line="240" w:lineRule="auto"/>
        <w:jc w:val="both"/>
        <w:rPr>
          <w:rFonts w:ascii="Times New Roman" w:eastAsia="Times New Roman" w:hAnsi="Times New Roman" w:cs="Times New Roman"/>
          <w:szCs w:val="24"/>
        </w:rPr>
      </w:pPr>
      <w:proofErr w:type="spellStart"/>
      <w:r w:rsidRPr="00B829E8">
        <w:rPr>
          <w:rFonts w:ascii="Times New Roman" w:eastAsia="Times New Roman" w:hAnsi="Times New Roman" w:cs="Times New Roman"/>
          <w:bCs/>
          <w:szCs w:val="24"/>
          <w:lang w:val="es-CO"/>
        </w:rPr>
        <w:t>Ref</w:t>
      </w:r>
      <w:proofErr w:type="spellEnd"/>
      <w:r w:rsidRPr="00B829E8">
        <w:rPr>
          <w:rFonts w:ascii="Times New Roman" w:eastAsia="Times New Roman" w:hAnsi="Times New Roman" w:cs="Times New Roman"/>
          <w:bCs/>
          <w:szCs w:val="24"/>
          <w:lang w:val="es-CO"/>
        </w:rPr>
        <w:t>:</w:t>
      </w:r>
      <w:r w:rsidRPr="00B829E8">
        <w:rPr>
          <w:rFonts w:ascii="Times New Roman" w:eastAsia="Times New Roman" w:hAnsi="Times New Roman" w:cs="Times New Roman"/>
          <w:szCs w:val="24"/>
          <w:lang w:val="es-CO"/>
        </w:rPr>
        <w:t> Radicado 100003905 del 20/02/2018</w:t>
      </w:r>
    </w:p>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szCs w:val="24"/>
        </w:rPr>
        <w:t> </w:t>
      </w:r>
    </w:p>
    <w:tbl>
      <w:tblPr>
        <w:tblW w:w="0" w:type="auto"/>
        <w:tblCellMar>
          <w:left w:w="0" w:type="dxa"/>
          <w:right w:w="0" w:type="dxa"/>
        </w:tblCellMar>
        <w:tblLook w:val="04A0" w:firstRow="1" w:lastRow="0" w:firstColumn="1" w:lastColumn="0" w:noHBand="0" w:noVBand="1"/>
      </w:tblPr>
      <w:tblGrid>
        <w:gridCol w:w="1813"/>
        <w:gridCol w:w="222"/>
        <w:gridCol w:w="222"/>
        <w:gridCol w:w="6581"/>
      </w:tblGrid>
      <w:tr w:rsidR="00B829E8" w:rsidRPr="00B829E8" w:rsidTr="00B829E8">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bCs/>
                <w:szCs w:val="24"/>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Impuesto sobre la Renta y Complementarios</w:t>
            </w:r>
          </w:p>
        </w:tc>
      </w:tr>
      <w:tr w:rsidR="00B829E8" w:rsidRPr="00B829E8" w:rsidTr="00B829E8">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bCs/>
                <w:szCs w:val="24"/>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Deducción por Deudas de Difícil Cobro</w:t>
            </w:r>
          </w:p>
        </w:tc>
      </w:tr>
      <w:tr w:rsidR="00B829E8" w:rsidRPr="00B829E8" w:rsidTr="00B829E8">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bCs/>
                <w:szCs w:val="24"/>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rPr>
                <w:rFonts w:ascii="Times New Roman" w:eastAsia="Times New Roman" w:hAnsi="Times New Roman" w:cs="Times New Roman"/>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Estatuto Tributario, artículos </w:t>
            </w:r>
            <w:hyperlink r:id="rId5" w:tooltip="Estatuto Tributario CETA" w:history="1">
              <w:r w:rsidRPr="00B829E8">
                <w:rPr>
                  <w:rFonts w:ascii="Times New Roman" w:eastAsia="Times New Roman" w:hAnsi="Times New Roman" w:cs="Times New Roman"/>
                  <w:szCs w:val="24"/>
                  <w:u w:val="single"/>
                  <w:lang w:val="es-CO"/>
                </w:rPr>
                <w:t>145</w:t>
              </w:r>
            </w:hyperlink>
            <w:r w:rsidRPr="00B829E8">
              <w:rPr>
                <w:rFonts w:ascii="Times New Roman" w:eastAsia="Times New Roman" w:hAnsi="Times New Roman" w:cs="Times New Roman"/>
                <w:szCs w:val="24"/>
                <w:lang w:val="es-CO"/>
              </w:rPr>
              <w:t> y </w:t>
            </w:r>
            <w:hyperlink r:id="rId6" w:tooltip="Estatuto Tributario CETA" w:history="1">
              <w:r w:rsidRPr="00B829E8">
                <w:rPr>
                  <w:rFonts w:ascii="Times New Roman" w:eastAsia="Times New Roman" w:hAnsi="Times New Roman" w:cs="Times New Roman"/>
                  <w:szCs w:val="24"/>
                  <w:u w:val="single"/>
                  <w:lang w:val="es-CO"/>
                </w:rPr>
                <w:t>772-1</w:t>
              </w:r>
            </w:hyperlink>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Ley 1819 de 2016, art. 87 y 137</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DUR 1625 de 2016</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Decreto Reglamentario 1998 de 2017, art. 1º</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Decreto Reglamentario 187 de 1975, arts. 72, 74, 75, 77, 78, 79, 80 y 82</w:t>
            </w:r>
          </w:p>
        </w:tc>
      </w:tr>
    </w:tbl>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Cordial saludo, señora Melgarejo:</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En relación con su consulta: </w:t>
      </w:r>
      <w:r w:rsidRPr="00B829E8">
        <w:rPr>
          <w:rFonts w:ascii="Times New Roman" w:eastAsia="Times New Roman" w:hAnsi="Times New Roman" w:cs="Times New Roman"/>
          <w:i/>
          <w:iCs/>
          <w:szCs w:val="24"/>
          <w:lang w:val="es-CO"/>
        </w:rPr>
        <w:t>Cuál es el reglamento a que se refiere el </w:t>
      </w:r>
      <w:hyperlink r:id="rId7" w:tooltip="Estatuto Tributario CETA" w:history="1">
        <w:r w:rsidRPr="00B829E8">
          <w:rPr>
            <w:rFonts w:ascii="Times New Roman" w:eastAsia="Times New Roman" w:hAnsi="Times New Roman" w:cs="Times New Roman"/>
            <w:i/>
            <w:iCs/>
            <w:szCs w:val="24"/>
            <w:u w:val="single"/>
            <w:lang w:val="es-CO"/>
          </w:rPr>
          <w:t>artículo 145</w:t>
        </w:r>
      </w:hyperlink>
      <w:r w:rsidRPr="00B829E8">
        <w:rPr>
          <w:rFonts w:ascii="Times New Roman" w:eastAsia="Times New Roman" w:hAnsi="Times New Roman" w:cs="Times New Roman"/>
          <w:i/>
          <w:iCs/>
          <w:szCs w:val="24"/>
          <w:lang w:val="es-CO"/>
        </w:rPr>
        <w:t> ET, para la deducción por deudas de difícil cobro?</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Al respecto este Despacho precisa lo siguiente:</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La modificación introducida al </w:t>
      </w:r>
      <w:hyperlink r:id="rId8" w:tooltip="Estatuto Tributario CETA" w:history="1">
        <w:r w:rsidRPr="00B829E8">
          <w:rPr>
            <w:rFonts w:ascii="Times New Roman" w:eastAsia="Times New Roman" w:hAnsi="Times New Roman" w:cs="Times New Roman"/>
            <w:szCs w:val="24"/>
            <w:u w:val="single"/>
            <w:lang w:val="es-CO"/>
          </w:rPr>
          <w:t>artículo 145</w:t>
        </w:r>
      </w:hyperlink>
      <w:r w:rsidRPr="00B829E8">
        <w:rPr>
          <w:rFonts w:ascii="Times New Roman" w:eastAsia="Times New Roman" w:hAnsi="Times New Roman" w:cs="Times New Roman"/>
          <w:szCs w:val="24"/>
          <w:lang w:val="es-CO"/>
        </w:rPr>
        <w:t> del Estatuto Tributario, a través del artículo 87 de la Ley 1819 de 2016, entre otros ajustes, cambió el concepto de “provisión” por “deterioro” de cartera. En ese sentido, con el fin de establecer cuál es el reglamento del citado </w:t>
      </w:r>
      <w:hyperlink r:id="rId9" w:tooltip="Estatuto Tributario CETA" w:history="1">
        <w:r w:rsidRPr="00B829E8">
          <w:rPr>
            <w:rFonts w:ascii="Times New Roman" w:eastAsia="Times New Roman" w:hAnsi="Times New Roman" w:cs="Times New Roman"/>
            <w:szCs w:val="24"/>
            <w:u w:val="single"/>
            <w:lang w:val="es-CO"/>
          </w:rPr>
          <w:t>artículo 145</w:t>
        </w:r>
      </w:hyperlink>
      <w:r w:rsidRPr="00B829E8">
        <w:rPr>
          <w:rFonts w:ascii="Times New Roman" w:eastAsia="Times New Roman" w:hAnsi="Times New Roman" w:cs="Times New Roman"/>
          <w:szCs w:val="24"/>
          <w:lang w:val="es-CO"/>
        </w:rPr>
        <w:t> , se hace necesario traer a colación la exposición de motivos de la Ley 1819 de 2016:</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bCs/>
          <w:i/>
          <w:iCs/>
          <w:szCs w:val="24"/>
          <w:lang w:val="es-CO"/>
        </w:rPr>
        <w:t>“EXPOSICIÓN DE MOTIVOS</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bCs/>
          <w:i/>
          <w:iCs/>
          <w:szCs w:val="24"/>
          <w:lang w:val="es-CO"/>
        </w:rPr>
        <w:lastRenderedPageBreak/>
        <w:t>ANEXO</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bCs/>
          <w:i/>
          <w:iCs/>
          <w:szCs w:val="24"/>
          <w:lang w:val="es-CO"/>
        </w:rPr>
        <w:t>JUSTIFICACIÓN ARTICULADO PERSONAS JURÍDICAS</w:t>
      </w:r>
    </w:p>
    <w:p w:rsidR="00B829E8" w:rsidRPr="00B829E8" w:rsidRDefault="00B829E8" w:rsidP="00B829E8">
      <w:pPr>
        <w:spacing w:after="0" w:line="240" w:lineRule="auto"/>
        <w:ind w:left="180"/>
        <w:jc w:val="both"/>
        <w:rPr>
          <w:rFonts w:ascii="Times New Roman" w:eastAsia="Times New Roman" w:hAnsi="Times New Roman" w:cs="Times New Roman"/>
          <w:szCs w:val="24"/>
        </w:rPr>
      </w:pPr>
      <w:r w:rsidRPr="00B829E8">
        <w:rPr>
          <w:rFonts w:ascii="Times New Roman" w:eastAsia="Times New Roman" w:hAnsi="Times New Roman" w:cs="Times New Roman"/>
          <w:i/>
          <w:iCs/>
          <w:szCs w:val="24"/>
          <w:lang w:val="es-CO"/>
        </w:rPr>
        <w:t>(…)</w:t>
      </w:r>
    </w:p>
    <w:p w:rsidR="00B829E8" w:rsidRPr="00B829E8" w:rsidRDefault="00B829E8" w:rsidP="00B829E8">
      <w:pPr>
        <w:spacing w:after="0" w:line="240" w:lineRule="auto"/>
        <w:ind w:left="180"/>
        <w:jc w:val="both"/>
        <w:rPr>
          <w:rFonts w:ascii="Times New Roman" w:eastAsia="Times New Roman" w:hAnsi="Times New Roman" w:cs="Times New Roman"/>
          <w:szCs w:val="24"/>
          <w:lang w:val="es-CO"/>
        </w:rPr>
      </w:pPr>
      <w:r w:rsidRPr="00B829E8">
        <w:rPr>
          <w:rFonts w:ascii="Times New Roman" w:eastAsia="Times New Roman" w:hAnsi="Times New Roman" w:cs="Times New Roman"/>
          <w:i/>
          <w:iCs/>
          <w:szCs w:val="24"/>
          <w:u w:val="single"/>
          <w:lang w:val="es-CO"/>
        </w:rPr>
        <w:t>Modifíquese el </w:t>
      </w:r>
      <w:hyperlink r:id="rId10" w:tooltip="Estatuto Tributario CETA" w:history="1">
        <w:r w:rsidRPr="00B829E8">
          <w:rPr>
            <w:rFonts w:ascii="Times New Roman" w:eastAsia="Times New Roman" w:hAnsi="Times New Roman" w:cs="Times New Roman"/>
            <w:i/>
            <w:iCs/>
            <w:szCs w:val="24"/>
            <w:u w:val="single"/>
            <w:lang w:val="es-CO"/>
          </w:rPr>
          <w:t>artículo 145</w:t>
        </w:r>
      </w:hyperlink>
      <w:r w:rsidRPr="00B829E8">
        <w:rPr>
          <w:rFonts w:ascii="Times New Roman" w:eastAsia="Times New Roman" w:hAnsi="Times New Roman" w:cs="Times New Roman"/>
          <w:i/>
          <w:iCs/>
          <w:szCs w:val="24"/>
          <w:u w:val="single"/>
          <w:lang w:val="es-CO"/>
        </w:rPr>
        <w:t> del Estatuto Tributario, el cual quedará así</w:t>
      </w:r>
      <w:r w:rsidRPr="00B829E8">
        <w:rPr>
          <w:rFonts w:ascii="Times New Roman" w:eastAsia="Times New Roman" w:hAnsi="Times New Roman" w:cs="Times New Roman"/>
          <w:i/>
          <w:iCs/>
          <w:szCs w:val="24"/>
          <w:lang w:val="es-CO"/>
        </w:rPr>
        <w:t>: Como regla general los deterioros de los activos no son deducibles al menos que se realicen de acuerdo con el Estatuto Tributario. </w:t>
      </w:r>
      <w:r w:rsidRPr="00B829E8">
        <w:rPr>
          <w:rFonts w:ascii="Times New Roman" w:eastAsia="Times New Roman" w:hAnsi="Times New Roman" w:cs="Times New Roman"/>
          <w:i/>
          <w:iCs/>
          <w:szCs w:val="24"/>
          <w:u w:val="single"/>
          <w:lang w:val="es-CO"/>
        </w:rPr>
        <w:t>La modificación a este artículo introduce el concepto de deterioro de cartera de dudoso o difícil cobro, concepto que trae la técnica contable, por lo tanto, se actualiza el concepto de provisión. Se seguirá el mismo tratamiento al aceptar como deducción las cantidades razonables establecidas en el Decreto 187 de 1975</w:t>
      </w:r>
      <w:r w:rsidRPr="00B829E8">
        <w:rPr>
          <w:rFonts w:ascii="Times New Roman" w:eastAsia="Times New Roman" w:hAnsi="Times New Roman" w:cs="Times New Roman"/>
          <w:i/>
          <w:iCs/>
          <w:szCs w:val="24"/>
          <w:lang w:val="es-CO"/>
        </w:rPr>
        <w:t>. La deducción de deudas de dudoso o difícil cobro es procedente siempre y cuando cumpla con las siguientes características: a) el contribuyente deberá ser obligado a llevar contabilidad; b) el deterioro de cartera de dudoso o difícil cobro se debe fijar en cantidades razonables fijadas por reglamento; c) las deudas deben haberse originado en operaciones productoras de renta; d) deben corresponder a cartera vencida; y f) no se reconoce el carácter de difícil cobro a deudas contraídas entre sí por empresas o personas económicamente vinculadas, o por los socios para con la sociedad, o viceversa. Como excepción a la regla general, las entidades sujetas a la inspección y vigilancia de la Superintendencia Financiera podrán deducirse el 100 por ciento de las provisiones de cartera de créditos, de coeficiente de riesgo sobre bienes recibidos en dación en pago, y la de contratos de leasing que deban realizarse conforme a las normas vigentes siempre y cuando no excedan de los límites establecidos por la ley y la regulación prudencial respecto de las entidades sometidas a la inspección y vigilancia de la Superintendencia Financiera de Colombia; o cuando sean voluntarias, incluso si media una sugerencia de la Superintendencia Financiera de Colombia. (…)” </w:t>
      </w:r>
      <w:r w:rsidRPr="00B829E8">
        <w:rPr>
          <w:rFonts w:ascii="Times New Roman" w:eastAsia="Times New Roman" w:hAnsi="Times New Roman" w:cs="Times New Roman"/>
          <w:szCs w:val="24"/>
          <w:lang w:val="es-CO"/>
        </w:rPr>
        <w:t>(Gaceta del Congreso No. 894 del 19/10/2016, pág. 184) (Subrayado fuera de texto)</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Con base en lo expuesto se concluye que los siguientes artículos del Decreto 187 de 1975 reglamentarios del </w:t>
      </w:r>
      <w:hyperlink r:id="rId11" w:tooltip="Estatuto Tributario CETA" w:history="1">
        <w:r w:rsidRPr="00B829E8">
          <w:rPr>
            <w:rFonts w:ascii="Times New Roman" w:eastAsia="Times New Roman" w:hAnsi="Times New Roman" w:cs="Times New Roman"/>
            <w:szCs w:val="24"/>
            <w:u w:val="single"/>
            <w:lang w:val="es-CO"/>
          </w:rPr>
          <w:t>artículo 145</w:t>
        </w:r>
      </w:hyperlink>
      <w:r w:rsidRPr="00B829E8">
        <w:rPr>
          <w:rFonts w:ascii="Times New Roman" w:eastAsia="Times New Roman" w:hAnsi="Times New Roman" w:cs="Times New Roman"/>
          <w:szCs w:val="24"/>
          <w:lang w:val="es-CO"/>
        </w:rPr>
        <w:t> del Estatuto Tributario, compilados en el Decreto Único Reglamentario en materia tributaria 1625 de 2016, se encuentran vigentes:</w:t>
      </w:r>
    </w:p>
    <w:p w:rsidR="00B829E8" w:rsidRPr="00B829E8" w:rsidRDefault="00B829E8" w:rsidP="00B829E8">
      <w:pPr>
        <w:spacing w:after="0" w:line="240" w:lineRule="auto"/>
        <w:jc w:val="center"/>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tbl>
      <w:tblPr>
        <w:tblW w:w="0" w:type="auto"/>
        <w:jc w:val="center"/>
        <w:tblCellMar>
          <w:left w:w="0" w:type="dxa"/>
          <w:right w:w="0" w:type="dxa"/>
        </w:tblCellMar>
        <w:tblLook w:val="04A0" w:firstRow="1" w:lastRow="0" w:firstColumn="1" w:lastColumn="0" w:noHBand="0" w:noVBand="1"/>
      </w:tblPr>
      <w:tblGrid>
        <w:gridCol w:w="1868"/>
        <w:gridCol w:w="6950"/>
      </w:tblGrid>
      <w:tr w:rsidR="00B829E8" w:rsidRPr="00B829E8" w:rsidTr="00B829E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bCs/>
                <w:szCs w:val="24"/>
                <w:lang w:val="es-CO"/>
              </w:rPr>
              <w:t>Decreto 187 de 1975</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bCs/>
                <w:szCs w:val="24"/>
                <w:lang w:val="es-CO"/>
              </w:rPr>
              <w:t>DUR 1625 DE 2016</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1.2.1.18.19.- Provisión individual.</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1.2.1.18.20.- Provisión individual cuota razonable.</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1.2.1.18.21.- Provisión general.</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1.2.1.18.22.- Formación y ajuste de las provisiones.</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1.2.1.18.25.- Registro contable de las provisiones.</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1.2.1.18.23.- Deudas manifiestamente perdidas o sin valor</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1.2.1.18.24.- Procedencia de la deducción por deudas manifiestamente perdidas o sin valor.</w:t>
            </w:r>
          </w:p>
        </w:tc>
      </w:tr>
      <w:tr w:rsidR="00B829E8" w:rsidRPr="00B829E8" w:rsidTr="00B829E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center"/>
              <w:rPr>
                <w:rFonts w:ascii="Times New Roman" w:eastAsia="Times New Roman" w:hAnsi="Times New Roman" w:cs="Times New Roman"/>
                <w:szCs w:val="24"/>
              </w:rPr>
            </w:pPr>
            <w:r w:rsidRPr="00B829E8">
              <w:rPr>
                <w:rFonts w:ascii="Times New Roman" w:eastAsia="Times New Roman" w:hAnsi="Times New Roman" w:cs="Times New Roman"/>
                <w:szCs w:val="24"/>
                <w:lang w:val="es-CO"/>
              </w:rPr>
              <w:t>Art. 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1.2.1.21.2.- Recuperación de deducciones por deudas manifiestamente perdidas o sin valor.</w:t>
            </w:r>
          </w:p>
        </w:tc>
      </w:tr>
    </w:tbl>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lastRenderedPageBreak/>
        <w:t>A su turno, el artículo 78 del Decreto Reglamentario 187 de 1975, compilado en el artículo 1.2.1.18.25 del Decreto Único Reglamentario en materia tributaria 1625 de 2016, debe interpretarse y aplicarse en concordancia con los artículos </w:t>
      </w:r>
      <w:hyperlink r:id="rId12" w:tooltip="Estatuto Tributario CETA" w:history="1">
        <w:r w:rsidRPr="00B829E8">
          <w:rPr>
            <w:rFonts w:ascii="Times New Roman" w:eastAsia="Times New Roman" w:hAnsi="Times New Roman" w:cs="Times New Roman"/>
            <w:szCs w:val="24"/>
            <w:u w:val="single"/>
            <w:lang w:val="es-CO"/>
          </w:rPr>
          <w:t>772-1</w:t>
        </w:r>
      </w:hyperlink>
      <w:r w:rsidRPr="00B829E8">
        <w:rPr>
          <w:rFonts w:ascii="Times New Roman" w:eastAsia="Times New Roman" w:hAnsi="Times New Roman" w:cs="Times New Roman"/>
          <w:szCs w:val="24"/>
          <w:lang w:val="es-CO"/>
        </w:rPr>
        <w:t> del Estatuto Tributario y 1.7.1. del DUR sustituido por el artículo 1º del Decreto 1998 de 2017.</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Atentamente,</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 </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bCs/>
          <w:szCs w:val="24"/>
          <w:lang w:val="es-CO"/>
        </w:rPr>
        <w:t>PEDRO PABLO CONTRERAS CAMARGO</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Subdirector de Gestión Normativa y Doctrina</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Dirección de Gestión Jurídica</w:t>
      </w:r>
    </w:p>
    <w:p w:rsidR="00B829E8" w:rsidRPr="00B829E8" w:rsidRDefault="00B829E8" w:rsidP="00B829E8">
      <w:pPr>
        <w:spacing w:after="0" w:line="240" w:lineRule="auto"/>
        <w:jc w:val="both"/>
        <w:rPr>
          <w:rFonts w:ascii="Times New Roman" w:eastAsia="Times New Roman" w:hAnsi="Times New Roman" w:cs="Times New Roman"/>
          <w:szCs w:val="24"/>
          <w:lang w:val="es-CO"/>
        </w:rPr>
      </w:pPr>
      <w:r w:rsidRPr="00B829E8">
        <w:rPr>
          <w:rFonts w:ascii="Times New Roman" w:eastAsia="Times New Roman" w:hAnsi="Times New Roman" w:cs="Times New Roman"/>
          <w:szCs w:val="24"/>
          <w:lang w:val="es-CO"/>
        </w:rPr>
        <w:t>UAE- Dirección de Impuestos y Aduanas Nacionales</w:t>
      </w:r>
    </w:p>
    <w:p w:rsidR="00F44EFF" w:rsidRPr="00B829E8" w:rsidRDefault="00F44EFF">
      <w:pPr>
        <w:rPr>
          <w:rFonts w:ascii="Times New Roman" w:hAnsi="Times New Roman" w:cs="Times New Roman"/>
          <w:szCs w:val="24"/>
          <w:lang w:val="es-CO"/>
        </w:rPr>
      </w:pPr>
    </w:p>
    <w:sectPr w:rsidR="00F44EFF" w:rsidRPr="00B82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E8"/>
    <w:rsid w:val="00B829E8"/>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5F631-7E8A-4561-A28C-A619E8A2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1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207" TargetMode="External"/><Relationship Id="rId12" Type="http://schemas.openxmlformats.org/officeDocument/2006/relationships/hyperlink" Target="https://www.ceta.org.co/html/vista_de_un_articulo.asp?Norma=424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8" TargetMode="External"/><Relationship Id="rId11" Type="http://schemas.openxmlformats.org/officeDocument/2006/relationships/hyperlink" Target="https://www.ceta.org.co/html/vista_de_un_articulo.asp?Norma=207" TargetMode="External"/><Relationship Id="rId5" Type="http://schemas.openxmlformats.org/officeDocument/2006/relationships/hyperlink" Target="https://www.ceta.org.co/html/vista_de_un_articulo.asp?Norma=207" TargetMode="External"/><Relationship Id="rId10" Type="http://schemas.openxmlformats.org/officeDocument/2006/relationships/hyperlink" Target="https://www.ceta.org.co/html/vista_de_un_articulo.asp?Norma=207" TargetMode="External"/><Relationship Id="rId4" Type="http://schemas.openxmlformats.org/officeDocument/2006/relationships/hyperlink" Target="mailto:albamelgarejosaenz@gmail.com" TargetMode="External"/><Relationship Id="rId9" Type="http://schemas.openxmlformats.org/officeDocument/2006/relationships/hyperlink" Target="https://www.ceta.org.co/html/vista_de_un_articulo.asp?Norma=20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2018-10-21T21:04:00Z</dcterms:created>
  <dcterms:modified xsi:type="dcterms:W3CDTF">2018-10-21T21:06:00Z</dcterms:modified>
</cp:coreProperties>
</file>