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07" w:rsidRPr="00773107" w:rsidRDefault="00773107" w:rsidP="00773107">
      <w:pPr>
        <w:spacing w:line="240" w:lineRule="auto"/>
        <w:rPr>
          <w:rFonts w:eastAsia="Times New Roman" w:cs="Times New Roman"/>
          <w:color w:val="auto"/>
          <w:sz w:val="18"/>
          <w:szCs w:val="18"/>
          <w:lang w:val="es-CO"/>
        </w:rPr>
      </w:pPr>
    </w:p>
    <w:p w:rsidR="00773107" w:rsidRPr="00773107" w:rsidRDefault="00773107" w:rsidP="00773107">
      <w:pPr>
        <w:spacing w:line="240" w:lineRule="auto"/>
        <w:rPr>
          <w:rFonts w:eastAsia="Times New Roman" w:cs="Times New Roman"/>
          <w:color w:val="auto"/>
          <w:sz w:val="18"/>
          <w:szCs w:val="18"/>
          <w:lang w:val="es-CO"/>
        </w:rPr>
      </w:pPr>
    </w:p>
    <w:p w:rsidR="00773107" w:rsidRPr="00773107" w:rsidRDefault="00773107" w:rsidP="00773107">
      <w:pPr>
        <w:spacing w:line="240" w:lineRule="auto"/>
        <w:rPr>
          <w:rFonts w:eastAsia="Times New Roman" w:cs="Times New Roman"/>
          <w:color w:val="auto"/>
          <w:sz w:val="18"/>
          <w:szCs w:val="18"/>
          <w:lang w:val="es-CO"/>
        </w:rPr>
      </w:pPr>
    </w:p>
    <w:p w:rsidR="00773107" w:rsidRPr="00773107" w:rsidRDefault="00773107" w:rsidP="00773107">
      <w:pPr>
        <w:spacing w:line="240" w:lineRule="auto"/>
        <w:rPr>
          <w:rFonts w:eastAsia="Times New Roman" w:cs="Times New Roman"/>
          <w:color w:val="auto"/>
          <w:sz w:val="18"/>
          <w:szCs w:val="18"/>
          <w:lang w:val="es-CO"/>
        </w:rPr>
      </w:pPr>
    </w:p>
    <w:p w:rsidR="00773107" w:rsidRPr="00773107" w:rsidRDefault="00773107" w:rsidP="00773107">
      <w:pPr>
        <w:spacing w:line="240" w:lineRule="auto"/>
        <w:rPr>
          <w:rFonts w:eastAsia="Times New Roman" w:cs="Times New Roman"/>
          <w:color w:val="auto"/>
          <w:sz w:val="18"/>
          <w:szCs w:val="18"/>
          <w:lang w:val="es-CO"/>
        </w:rPr>
      </w:pPr>
    </w:p>
    <w:p w:rsidR="00773107" w:rsidRPr="00773107" w:rsidRDefault="00773107" w:rsidP="00773107">
      <w:pPr>
        <w:spacing w:line="240" w:lineRule="auto"/>
        <w:jc w:val="center"/>
        <w:rPr>
          <w:rFonts w:eastAsia="Times New Roman" w:cs="Times New Roman"/>
          <w:color w:val="auto"/>
          <w:sz w:val="18"/>
          <w:szCs w:val="18"/>
          <w:lang w:val="es-CO"/>
        </w:rPr>
      </w:pPr>
      <w:r w:rsidRPr="00773107">
        <w:rPr>
          <w:rFonts w:eastAsia="Times New Roman" w:cs="Times New Roman"/>
          <w:b/>
          <w:bCs/>
          <w:color w:val="auto"/>
          <w:sz w:val="28"/>
          <w:szCs w:val="28"/>
          <w:lang w:val="es-CO"/>
        </w:rPr>
        <w:t>OFICIO Nº 000628</w:t>
      </w:r>
    </w:p>
    <w:p w:rsidR="00773107" w:rsidRPr="00773107" w:rsidRDefault="00773107" w:rsidP="00773107">
      <w:pPr>
        <w:spacing w:line="240" w:lineRule="auto"/>
        <w:jc w:val="center"/>
        <w:rPr>
          <w:rFonts w:eastAsia="Times New Roman" w:cs="Times New Roman"/>
          <w:color w:val="auto"/>
          <w:sz w:val="18"/>
          <w:szCs w:val="18"/>
          <w:lang w:val="es-CO"/>
        </w:rPr>
      </w:pPr>
      <w:r w:rsidRPr="00773107">
        <w:rPr>
          <w:rFonts w:eastAsia="Times New Roman" w:cs="Times New Roman"/>
          <w:b/>
          <w:bCs/>
          <w:color w:val="auto"/>
          <w:sz w:val="28"/>
          <w:szCs w:val="28"/>
          <w:lang w:val="es-CO"/>
        </w:rPr>
        <w:t>30-04-2018</w:t>
      </w:r>
    </w:p>
    <w:p w:rsidR="00773107" w:rsidRPr="00773107" w:rsidRDefault="00773107" w:rsidP="00773107">
      <w:pPr>
        <w:spacing w:line="240" w:lineRule="auto"/>
        <w:jc w:val="center"/>
        <w:rPr>
          <w:rFonts w:eastAsia="Times New Roman" w:cs="Times New Roman"/>
          <w:color w:val="auto"/>
          <w:sz w:val="18"/>
          <w:szCs w:val="18"/>
          <w:lang w:val="es-CO"/>
        </w:rPr>
      </w:pPr>
      <w:r w:rsidRPr="00773107">
        <w:rPr>
          <w:rFonts w:eastAsia="Times New Roman" w:cs="Times New Roman"/>
          <w:b/>
          <w:bCs/>
          <w:color w:val="auto"/>
          <w:sz w:val="28"/>
          <w:szCs w:val="28"/>
          <w:lang w:val="es-CO"/>
        </w:rPr>
        <w:t>DIAN</w:t>
      </w:r>
      <w:bookmarkStart w:id="0" w:name="_GoBack"/>
      <w:bookmarkEnd w:id="0"/>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b/>
          <w:bCs/>
          <w:color w:val="auto"/>
          <w:sz w:val="18"/>
          <w:szCs w:val="18"/>
          <w:lang w:val="es-CO"/>
        </w:rPr>
        <w:t> </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b/>
          <w:bCs/>
          <w:color w:val="auto"/>
          <w:sz w:val="18"/>
          <w:szCs w:val="18"/>
          <w:lang w:val="es-CO"/>
        </w:rPr>
        <w:t> </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Subdirección de Gestión Normativa y Doctrina</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Bogotá, D.C.</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100208221- 000628</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 </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Señora</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b/>
          <w:bCs/>
          <w:color w:val="auto"/>
          <w:sz w:val="18"/>
          <w:szCs w:val="18"/>
          <w:lang w:val="es-CO"/>
        </w:rPr>
        <w:t>PATRICIA ALEJANDRA OSPITIA MURCIA</w:t>
      </w:r>
    </w:p>
    <w:p w:rsidR="00773107" w:rsidRPr="00773107" w:rsidRDefault="00773107" w:rsidP="00773107">
      <w:pPr>
        <w:spacing w:line="240" w:lineRule="auto"/>
        <w:rPr>
          <w:rFonts w:eastAsia="Times New Roman" w:cs="Times New Roman"/>
          <w:color w:val="auto"/>
          <w:sz w:val="18"/>
          <w:szCs w:val="18"/>
        </w:rPr>
      </w:pPr>
      <w:proofErr w:type="spellStart"/>
      <w:r w:rsidRPr="00773107">
        <w:rPr>
          <w:rFonts w:eastAsia="Times New Roman" w:cs="Times New Roman"/>
          <w:color w:val="auto"/>
          <w:sz w:val="18"/>
          <w:szCs w:val="18"/>
        </w:rPr>
        <w:t>Fedemaderas</w:t>
      </w:r>
      <w:proofErr w:type="spellEnd"/>
    </w:p>
    <w:p w:rsidR="00773107" w:rsidRPr="00773107" w:rsidRDefault="00773107" w:rsidP="00773107">
      <w:pPr>
        <w:spacing w:line="240" w:lineRule="auto"/>
        <w:rPr>
          <w:rFonts w:eastAsia="Times New Roman" w:cs="Times New Roman"/>
          <w:color w:val="auto"/>
          <w:sz w:val="18"/>
          <w:szCs w:val="18"/>
        </w:rPr>
      </w:pPr>
      <w:hyperlink r:id="rId4" w:history="1">
        <w:r w:rsidRPr="00773107">
          <w:rPr>
            <w:rFonts w:eastAsia="Times New Roman" w:cs="Times New Roman"/>
            <w:color w:val="auto"/>
            <w:sz w:val="18"/>
            <w:szCs w:val="18"/>
            <w:u w:val="single"/>
          </w:rPr>
          <w:t>direccion@fedemaderas.org.co</w:t>
        </w:r>
      </w:hyperlink>
    </w:p>
    <w:p w:rsidR="00773107" w:rsidRPr="00773107" w:rsidRDefault="00773107" w:rsidP="00773107">
      <w:pPr>
        <w:spacing w:line="240" w:lineRule="auto"/>
        <w:rPr>
          <w:rFonts w:eastAsia="Times New Roman" w:cs="Times New Roman"/>
          <w:color w:val="auto"/>
          <w:sz w:val="18"/>
          <w:szCs w:val="18"/>
        </w:rPr>
      </w:pPr>
      <w:proofErr w:type="spellStart"/>
      <w:r w:rsidRPr="00773107">
        <w:rPr>
          <w:rFonts w:eastAsia="Times New Roman" w:cs="Times New Roman"/>
          <w:color w:val="auto"/>
          <w:sz w:val="18"/>
          <w:szCs w:val="18"/>
        </w:rPr>
        <w:t>Calle</w:t>
      </w:r>
      <w:proofErr w:type="spellEnd"/>
      <w:r w:rsidRPr="00773107">
        <w:rPr>
          <w:rFonts w:eastAsia="Times New Roman" w:cs="Times New Roman"/>
          <w:color w:val="auto"/>
          <w:sz w:val="18"/>
          <w:szCs w:val="18"/>
        </w:rPr>
        <w:t xml:space="preserve"> 61 Nº 5-05 </w:t>
      </w:r>
      <w:proofErr w:type="spellStart"/>
      <w:r w:rsidRPr="00773107">
        <w:rPr>
          <w:rFonts w:eastAsia="Times New Roman" w:cs="Times New Roman"/>
          <w:color w:val="auto"/>
          <w:sz w:val="18"/>
          <w:szCs w:val="18"/>
        </w:rPr>
        <w:t>Ofc</w:t>
      </w:r>
      <w:proofErr w:type="spellEnd"/>
      <w:r w:rsidRPr="00773107">
        <w:rPr>
          <w:rFonts w:eastAsia="Times New Roman" w:cs="Times New Roman"/>
          <w:color w:val="auto"/>
          <w:sz w:val="18"/>
          <w:szCs w:val="18"/>
        </w:rPr>
        <w:t xml:space="preserve"> 101</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Bogotá, D.C.</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 </w:t>
      </w:r>
    </w:p>
    <w:p w:rsidR="00773107" w:rsidRPr="00773107" w:rsidRDefault="00773107" w:rsidP="00773107">
      <w:pPr>
        <w:spacing w:line="240" w:lineRule="auto"/>
        <w:rPr>
          <w:rFonts w:eastAsia="Times New Roman" w:cs="Times New Roman"/>
          <w:color w:val="auto"/>
          <w:sz w:val="18"/>
          <w:szCs w:val="18"/>
          <w:lang w:val="es-CO"/>
        </w:rPr>
      </w:pPr>
      <w:proofErr w:type="spellStart"/>
      <w:r w:rsidRPr="00773107">
        <w:rPr>
          <w:rFonts w:eastAsia="Times New Roman" w:cs="Times New Roman"/>
          <w:b/>
          <w:bCs/>
          <w:color w:val="auto"/>
          <w:sz w:val="18"/>
          <w:szCs w:val="18"/>
          <w:lang w:val="es-CO"/>
        </w:rPr>
        <w:t>Ref</w:t>
      </w:r>
      <w:proofErr w:type="spellEnd"/>
      <w:r w:rsidRPr="00773107">
        <w:rPr>
          <w:rFonts w:eastAsia="Times New Roman" w:cs="Times New Roman"/>
          <w:b/>
          <w:bCs/>
          <w:color w:val="auto"/>
          <w:sz w:val="18"/>
          <w:szCs w:val="18"/>
          <w:lang w:val="es-CO"/>
        </w:rPr>
        <w:t>:</w:t>
      </w:r>
      <w:r w:rsidRPr="00773107">
        <w:rPr>
          <w:rFonts w:eastAsia="Times New Roman" w:cs="Times New Roman"/>
          <w:color w:val="auto"/>
          <w:sz w:val="18"/>
          <w:szCs w:val="18"/>
          <w:lang w:val="es-CO"/>
        </w:rPr>
        <w:t> Radicado 100008636 del 08/03/2018</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 </w:t>
      </w:r>
    </w:p>
    <w:tbl>
      <w:tblPr>
        <w:tblW w:w="0" w:type="auto"/>
        <w:tblCellMar>
          <w:left w:w="0" w:type="dxa"/>
          <w:right w:w="0" w:type="dxa"/>
        </w:tblCellMar>
        <w:tblLook w:val="04A0" w:firstRow="1" w:lastRow="0" w:firstColumn="1" w:lastColumn="0" w:noHBand="0" w:noVBand="1"/>
      </w:tblPr>
      <w:tblGrid>
        <w:gridCol w:w="1799"/>
        <w:gridCol w:w="266"/>
        <w:gridCol w:w="266"/>
        <w:gridCol w:w="5693"/>
      </w:tblGrid>
      <w:tr w:rsidR="00773107" w:rsidRPr="00773107" w:rsidTr="00773107">
        <w:tc>
          <w:tcPr>
            <w:tcW w:w="0" w:type="auto"/>
            <w:tcBorders>
              <w:top w:val="nil"/>
              <w:left w:val="nil"/>
              <w:bottom w:val="nil"/>
              <w:right w:val="nil"/>
            </w:tcBorders>
            <w:shd w:val="clear" w:color="auto" w:fill="auto"/>
            <w:tcMar>
              <w:top w:w="0" w:type="dxa"/>
              <w:left w:w="108" w:type="dxa"/>
              <w:bottom w:w="0" w:type="dxa"/>
              <w:right w:w="108" w:type="dxa"/>
            </w:tcMar>
            <w:hideMark/>
          </w:tcPr>
          <w:p w:rsidR="00773107" w:rsidRPr="00773107" w:rsidRDefault="00773107" w:rsidP="00773107">
            <w:pPr>
              <w:spacing w:line="240" w:lineRule="auto"/>
              <w:rPr>
                <w:rFonts w:eastAsia="Times New Roman" w:cs="Times New Roman"/>
                <w:color w:val="auto"/>
                <w:szCs w:val="24"/>
              </w:rPr>
            </w:pPr>
            <w:r w:rsidRPr="00773107">
              <w:rPr>
                <w:rFonts w:eastAsia="Times New Roman" w:cs="Times New Roman"/>
                <w:b/>
                <w:bCs/>
                <w:color w:val="auto"/>
                <w:sz w:val="20"/>
                <w:szCs w:val="20"/>
                <w:lang w:val="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73107" w:rsidRPr="00773107" w:rsidRDefault="00773107" w:rsidP="00773107">
            <w:pPr>
              <w:spacing w:line="240" w:lineRule="auto"/>
              <w:rPr>
                <w:rFonts w:eastAsia="Times New Roman" w:cs="Times New Roman"/>
                <w:color w:val="auto"/>
                <w:szCs w:val="24"/>
              </w:rPr>
            </w:pPr>
            <w:r w:rsidRPr="00773107">
              <w:rPr>
                <w:rFonts w:eastAsia="Times New Roman" w:cs="Times New Roman"/>
                <w:color w:val="auto"/>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73107" w:rsidRPr="00773107" w:rsidRDefault="00773107" w:rsidP="00773107">
            <w:pPr>
              <w:spacing w:line="240" w:lineRule="auto"/>
              <w:rPr>
                <w:rFonts w:eastAsia="Times New Roman" w:cs="Times New Roman"/>
                <w:color w:val="auto"/>
                <w:szCs w:val="24"/>
              </w:rPr>
            </w:pPr>
            <w:r w:rsidRPr="00773107">
              <w:rPr>
                <w:rFonts w:eastAsia="Times New Roman" w:cs="Times New Roman"/>
                <w:color w:val="auto"/>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73107" w:rsidRPr="00773107" w:rsidRDefault="00773107" w:rsidP="00773107">
            <w:pPr>
              <w:spacing w:line="240" w:lineRule="auto"/>
              <w:rPr>
                <w:rFonts w:eastAsia="Times New Roman" w:cs="Times New Roman"/>
                <w:color w:val="auto"/>
                <w:szCs w:val="24"/>
              </w:rPr>
            </w:pPr>
            <w:r w:rsidRPr="00773107">
              <w:rPr>
                <w:rFonts w:eastAsia="Times New Roman" w:cs="Times New Roman"/>
                <w:color w:val="auto"/>
                <w:sz w:val="20"/>
                <w:szCs w:val="20"/>
                <w:lang w:val="es-CO"/>
              </w:rPr>
              <w:t>Impuesto sobre la renta</w:t>
            </w:r>
          </w:p>
        </w:tc>
      </w:tr>
      <w:tr w:rsidR="00773107" w:rsidRPr="00773107" w:rsidTr="00773107">
        <w:tc>
          <w:tcPr>
            <w:tcW w:w="0" w:type="auto"/>
            <w:tcBorders>
              <w:top w:val="nil"/>
              <w:left w:val="nil"/>
              <w:bottom w:val="nil"/>
              <w:right w:val="nil"/>
            </w:tcBorders>
            <w:shd w:val="clear" w:color="auto" w:fill="auto"/>
            <w:tcMar>
              <w:top w:w="0" w:type="dxa"/>
              <w:left w:w="108" w:type="dxa"/>
              <w:bottom w:w="0" w:type="dxa"/>
              <w:right w:w="108" w:type="dxa"/>
            </w:tcMar>
            <w:hideMark/>
          </w:tcPr>
          <w:p w:rsidR="00773107" w:rsidRPr="00773107" w:rsidRDefault="00773107" w:rsidP="00773107">
            <w:pPr>
              <w:spacing w:line="240" w:lineRule="auto"/>
              <w:rPr>
                <w:rFonts w:eastAsia="Times New Roman" w:cs="Times New Roman"/>
                <w:color w:val="auto"/>
                <w:szCs w:val="24"/>
              </w:rPr>
            </w:pPr>
            <w:r w:rsidRPr="00773107">
              <w:rPr>
                <w:rFonts w:eastAsia="Times New Roman" w:cs="Times New Roman"/>
                <w:b/>
                <w:bCs/>
                <w:color w:val="auto"/>
                <w:sz w:val="20"/>
                <w:szCs w:val="20"/>
                <w:lang w:val="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73107" w:rsidRPr="00773107" w:rsidRDefault="00773107" w:rsidP="00773107">
            <w:pPr>
              <w:spacing w:line="240" w:lineRule="auto"/>
              <w:rPr>
                <w:rFonts w:eastAsia="Times New Roman" w:cs="Times New Roman"/>
                <w:color w:val="auto"/>
                <w:szCs w:val="24"/>
              </w:rPr>
            </w:pPr>
            <w:r w:rsidRPr="00773107">
              <w:rPr>
                <w:rFonts w:eastAsia="Times New Roman" w:cs="Times New Roman"/>
                <w:color w:val="auto"/>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73107" w:rsidRPr="00773107" w:rsidRDefault="00773107" w:rsidP="00773107">
            <w:pPr>
              <w:spacing w:line="240" w:lineRule="auto"/>
              <w:rPr>
                <w:rFonts w:eastAsia="Times New Roman" w:cs="Times New Roman"/>
                <w:color w:val="auto"/>
                <w:szCs w:val="24"/>
              </w:rPr>
            </w:pPr>
            <w:r w:rsidRPr="00773107">
              <w:rPr>
                <w:rFonts w:eastAsia="Times New Roman" w:cs="Times New Roman"/>
                <w:color w:val="auto"/>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73107" w:rsidRPr="00773107" w:rsidRDefault="00773107" w:rsidP="00773107">
            <w:pPr>
              <w:spacing w:line="240" w:lineRule="auto"/>
              <w:rPr>
                <w:rFonts w:eastAsia="Times New Roman" w:cs="Times New Roman"/>
                <w:color w:val="auto"/>
                <w:szCs w:val="24"/>
                <w:lang w:val="es-CO"/>
              </w:rPr>
            </w:pPr>
            <w:r w:rsidRPr="00773107">
              <w:rPr>
                <w:rFonts w:eastAsia="Times New Roman" w:cs="Times New Roman"/>
                <w:color w:val="auto"/>
                <w:sz w:val="20"/>
                <w:szCs w:val="20"/>
                <w:lang w:val="es-CO"/>
              </w:rPr>
              <w:t>Rentas exentas plantaciones forestales/renta presuntiva</w:t>
            </w:r>
          </w:p>
        </w:tc>
      </w:tr>
      <w:tr w:rsidR="00773107" w:rsidRPr="00773107" w:rsidTr="00773107">
        <w:tc>
          <w:tcPr>
            <w:tcW w:w="0" w:type="auto"/>
            <w:tcBorders>
              <w:top w:val="nil"/>
              <w:left w:val="nil"/>
              <w:bottom w:val="nil"/>
              <w:right w:val="nil"/>
            </w:tcBorders>
            <w:shd w:val="clear" w:color="auto" w:fill="auto"/>
            <w:tcMar>
              <w:top w:w="0" w:type="dxa"/>
              <w:left w:w="108" w:type="dxa"/>
              <w:bottom w:w="0" w:type="dxa"/>
              <w:right w:w="108" w:type="dxa"/>
            </w:tcMar>
            <w:hideMark/>
          </w:tcPr>
          <w:p w:rsidR="00773107" w:rsidRPr="00773107" w:rsidRDefault="00773107" w:rsidP="00773107">
            <w:pPr>
              <w:spacing w:line="240" w:lineRule="auto"/>
              <w:rPr>
                <w:rFonts w:eastAsia="Times New Roman" w:cs="Times New Roman"/>
                <w:color w:val="auto"/>
                <w:szCs w:val="24"/>
              </w:rPr>
            </w:pPr>
            <w:r w:rsidRPr="00773107">
              <w:rPr>
                <w:rFonts w:eastAsia="Times New Roman" w:cs="Times New Roman"/>
                <w:b/>
                <w:bCs/>
                <w:color w:val="auto"/>
                <w:sz w:val="20"/>
                <w:szCs w:val="20"/>
                <w:lang w:val="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73107" w:rsidRPr="00773107" w:rsidRDefault="00773107" w:rsidP="00773107">
            <w:pPr>
              <w:spacing w:line="240" w:lineRule="auto"/>
              <w:rPr>
                <w:rFonts w:eastAsia="Times New Roman" w:cs="Times New Roman"/>
                <w:color w:val="auto"/>
                <w:szCs w:val="24"/>
              </w:rPr>
            </w:pPr>
            <w:r w:rsidRPr="00773107">
              <w:rPr>
                <w:rFonts w:eastAsia="Times New Roman" w:cs="Times New Roman"/>
                <w:color w:val="auto"/>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73107" w:rsidRPr="00773107" w:rsidRDefault="00773107" w:rsidP="00773107">
            <w:pPr>
              <w:spacing w:line="240" w:lineRule="auto"/>
              <w:rPr>
                <w:rFonts w:eastAsia="Times New Roman" w:cs="Times New Roman"/>
                <w:color w:val="auto"/>
                <w:szCs w:val="24"/>
              </w:rPr>
            </w:pPr>
            <w:r w:rsidRPr="00773107">
              <w:rPr>
                <w:rFonts w:eastAsia="Times New Roman" w:cs="Times New Roman"/>
                <w:color w:val="auto"/>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73107" w:rsidRPr="00773107" w:rsidRDefault="00773107" w:rsidP="00773107">
            <w:pPr>
              <w:spacing w:line="240" w:lineRule="auto"/>
              <w:rPr>
                <w:rFonts w:eastAsia="Times New Roman" w:cs="Times New Roman"/>
                <w:color w:val="auto"/>
                <w:szCs w:val="24"/>
                <w:lang w:val="es-CO"/>
              </w:rPr>
            </w:pPr>
            <w:r w:rsidRPr="00773107">
              <w:rPr>
                <w:rFonts w:eastAsia="Times New Roman" w:cs="Times New Roman"/>
                <w:color w:val="auto"/>
                <w:sz w:val="20"/>
                <w:szCs w:val="20"/>
                <w:lang w:val="es-CO"/>
              </w:rPr>
              <w:t xml:space="preserve">Ley 1819 de 2016 </w:t>
            </w:r>
            <w:proofErr w:type="spellStart"/>
            <w:r w:rsidRPr="00773107">
              <w:rPr>
                <w:rFonts w:eastAsia="Times New Roman" w:cs="Times New Roman"/>
                <w:color w:val="auto"/>
                <w:sz w:val="20"/>
                <w:szCs w:val="20"/>
                <w:lang w:val="es-CO"/>
              </w:rPr>
              <w:t>arts</w:t>
            </w:r>
            <w:proofErr w:type="spellEnd"/>
            <w:r w:rsidRPr="00773107">
              <w:rPr>
                <w:rFonts w:eastAsia="Times New Roman" w:cs="Times New Roman"/>
                <w:color w:val="auto"/>
                <w:sz w:val="20"/>
                <w:szCs w:val="20"/>
                <w:lang w:val="es-CO"/>
              </w:rPr>
              <w:t xml:space="preserve"> 99, 376. Estatuto Tributario </w:t>
            </w:r>
            <w:proofErr w:type="spellStart"/>
            <w:r w:rsidRPr="00773107">
              <w:rPr>
                <w:rFonts w:eastAsia="Times New Roman" w:cs="Times New Roman"/>
                <w:color w:val="auto"/>
                <w:sz w:val="20"/>
                <w:szCs w:val="20"/>
                <w:lang w:val="es-CO"/>
              </w:rPr>
              <w:t>arts</w:t>
            </w:r>
            <w:proofErr w:type="spellEnd"/>
            <w:r w:rsidRPr="00773107">
              <w:rPr>
                <w:rFonts w:eastAsia="Times New Roman" w:cs="Times New Roman"/>
                <w:color w:val="auto"/>
                <w:sz w:val="20"/>
                <w:szCs w:val="20"/>
                <w:lang w:val="es-CO"/>
              </w:rPr>
              <w:t> </w:t>
            </w:r>
            <w:hyperlink r:id="rId5" w:tooltip="Estatuto Tributario CETA" w:history="1">
              <w:r w:rsidRPr="00773107">
                <w:rPr>
                  <w:rFonts w:eastAsia="Times New Roman" w:cs="Times New Roman"/>
                  <w:color w:val="auto"/>
                  <w:sz w:val="20"/>
                  <w:szCs w:val="20"/>
                  <w:u w:val="single"/>
                  <w:lang w:val="es-CO"/>
                </w:rPr>
                <w:t>207-2</w:t>
              </w:r>
            </w:hyperlink>
            <w:r w:rsidRPr="00773107">
              <w:rPr>
                <w:rFonts w:eastAsia="Times New Roman" w:cs="Times New Roman"/>
                <w:color w:val="auto"/>
                <w:sz w:val="20"/>
                <w:szCs w:val="20"/>
                <w:lang w:val="es-CO"/>
              </w:rPr>
              <w:t>, </w:t>
            </w:r>
            <w:hyperlink r:id="rId6" w:tooltip="Estatuto Tributario CETA" w:history="1">
              <w:r w:rsidRPr="00773107">
                <w:rPr>
                  <w:rFonts w:eastAsia="Times New Roman" w:cs="Times New Roman"/>
                  <w:color w:val="auto"/>
                  <w:sz w:val="20"/>
                  <w:szCs w:val="20"/>
                  <w:u w:val="single"/>
                  <w:lang w:val="es-CO"/>
                </w:rPr>
                <w:t>235-2</w:t>
              </w:r>
            </w:hyperlink>
          </w:p>
        </w:tc>
      </w:tr>
    </w:tbl>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 </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 </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De conformidad con el artículo 20 del Decreto 4048 de 2008 es función de este Despacho absolver las consultas escritas que se formulen sobre interpretación y aplicación de las normas tributarias de carácter nacional, aduaneras y cambiarias en lo de competencia de esta entidad.</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 </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Expresa en su comunicación que el artículo 99 de la Ley 1819 de 2016 que adicionó el </w:t>
      </w:r>
      <w:hyperlink r:id="rId7" w:tooltip="Estatuto Tributario CETA" w:history="1">
        <w:r w:rsidRPr="00773107">
          <w:rPr>
            <w:rFonts w:eastAsia="Times New Roman" w:cs="Times New Roman"/>
            <w:color w:val="auto"/>
            <w:sz w:val="18"/>
            <w:szCs w:val="18"/>
            <w:u w:val="single"/>
            <w:lang w:val="es-CO"/>
          </w:rPr>
          <w:t>artículo 235-2</w:t>
        </w:r>
      </w:hyperlink>
      <w:r w:rsidRPr="00773107">
        <w:rPr>
          <w:rFonts w:eastAsia="Times New Roman" w:cs="Times New Roman"/>
          <w:color w:val="auto"/>
          <w:sz w:val="18"/>
          <w:szCs w:val="18"/>
          <w:lang w:val="es-CO"/>
        </w:rPr>
        <w:t> al Estatuto Tributario </w:t>
      </w:r>
      <w:r w:rsidRPr="00773107">
        <w:rPr>
          <w:rFonts w:eastAsia="Times New Roman" w:cs="Times New Roman"/>
          <w:i/>
          <w:iCs/>
          <w:color w:val="auto"/>
          <w:sz w:val="18"/>
          <w:szCs w:val="18"/>
          <w:lang w:val="es-CO"/>
        </w:rPr>
        <w:t>“establece el incentivo de renta exenta para plantaciones forestales comerciales existentes o nuevas”</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 </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Requiere se precise si esta actividad se puede acoger a la exclusión de la renta presuntiva consagrada en el numeral 13 del </w:t>
      </w:r>
      <w:hyperlink r:id="rId8" w:tooltip="Estatuto Tributario CETA" w:history="1">
        <w:r w:rsidRPr="00773107">
          <w:rPr>
            <w:rFonts w:eastAsia="Times New Roman" w:cs="Times New Roman"/>
            <w:color w:val="auto"/>
            <w:sz w:val="18"/>
            <w:szCs w:val="18"/>
            <w:u w:val="single"/>
            <w:lang w:val="es-CO"/>
          </w:rPr>
          <w:t>artículo 191</w:t>
        </w:r>
      </w:hyperlink>
      <w:r w:rsidRPr="00773107">
        <w:rPr>
          <w:rFonts w:eastAsia="Times New Roman" w:cs="Times New Roman"/>
          <w:color w:val="auto"/>
          <w:sz w:val="18"/>
          <w:szCs w:val="18"/>
          <w:lang w:val="es-CO"/>
        </w:rPr>
        <w:t> del Estatuto Tributario</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color w:val="auto"/>
          <w:sz w:val="18"/>
          <w:szCs w:val="18"/>
          <w:lang w:val="es-CO"/>
        </w:rPr>
        <w:t> </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color w:val="auto"/>
          <w:sz w:val="18"/>
          <w:szCs w:val="18"/>
          <w:lang w:val="es-CO"/>
        </w:rPr>
        <w:t>Sobre el particular debe señalarse que el </w:t>
      </w:r>
      <w:hyperlink r:id="rId9" w:tooltip="Estatuto Tributario CETA" w:history="1">
        <w:r w:rsidRPr="00773107">
          <w:rPr>
            <w:rFonts w:eastAsia="Times New Roman" w:cs="Times New Roman"/>
            <w:color w:val="auto"/>
            <w:sz w:val="18"/>
            <w:szCs w:val="18"/>
            <w:u w:val="single"/>
            <w:lang w:val="es-CO"/>
          </w:rPr>
          <w:t>artículo 207-2</w:t>
        </w:r>
      </w:hyperlink>
      <w:r w:rsidRPr="00773107">
        <w:rPr>
          <w:rFonts w:eastAsia="Times New Roman" w:cs="Times New Roman"/>
          <w:color w:val="auto"/>
          <w:sz w:val="18"/>
          <w:szCs w:val="18"/>
          <w:lang w:val="es-CO"/>
        </w:rPr>
        <w:t> del Estatuto Tributario consagraba respecto de algunas rentas exentas y en especial de la referida a plantaciones forestales:</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b/>
          <w:bCs/>
          <w:color w:val="auto"/>
          <w:sz w:val="18"/>
          <w:szCs w:val="18"/>
          <w:lang w:val="es-CO"/>
        </w:rPr>
        <w:t> </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b/>
          <w:bCs/>
          <w:color w:val="auto"/>
          <w:sz w:val="18"/>
          <w:szCs w:val="18"/>
          <w:lang w:val="es-CO"/>
        </w:rPr>
        <w:t>“</w:t>
      </w:r>
      <w:hyperlink r:id="rId10" w:tooltip="Estatuto Tributario CETA" w:history="1">
        <w:r w:rsidRPr="00773107">
          <w:rPr>
            <w:rFonts w:eastAsia="Times New Roman" w:cs="Times New Roman"/>
            <w:b/>
            <w:bCs/>
            <w:color w:val="auto"/>
            <w:sz w:val="18"/>
            <w:szCs w:val="18"/>
            <w:u w:val="single"/>
            <w:lang w:val="es-CO"/>
          </w:rPr>
          <w:t>ARTÍCULO 207-2</w:t>
        </w:r>
      </w:hyperlink>
      <w:r w:rsidRPr="00773107">
        <w:rPr>
          <w:rFonts w:eastAsia="Times New Roman" w:cs="Times New Roman"/>
          <w:b/>
          <w:bCs/>
          <w:color w:val="auto"/>
          <w:sz w:val="18"/>
          <w:szCs w:val="18"/>
          <w:lang w:val="es-CO"/>
        </w:rPr>
        <w:t> OTRAS RENTAS EXENTAS. </w:t>
      </w:r>
      <w:r w:rsidRPr="00773107">
        <w:rPr>
          <w:rFonts w:eastAsia="Times New Roman" w:cs="Times New Roman"/>
          <w:color w:val="auto"/>
          <w:sz w:val="18"/>
          <w:szCs w:val="18"/>
          <w:lang w:val="es-CO"/>
        </w:rPr>
        <w:t>&lt;Artículo adicionado por el artículo 18 de la Ley 788 de 2002. El nuevo texto es el siguiente:&gt; Son rentas exentas las generadas por los siguientes conceptos, con los requisitos y controles que establezca el reglamento:</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color w:val="auto"/>
          <w:sz w:val="18"/>
          <w:szCs w:val="18"/>
          <w:lang w:val="es-CO"/>
        </w:rPr>
        <w:t> </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color w:val="auto"/>
          <w:sz w:val="18"/>
          <w:szCs w:val="18"/>
          <w:lang w:val="es-CO"/>
        </w:rPr>
        <w:t>(…)</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i/>
          <w:iCs/>
          <w:color w:val="auto"/>
          <w:sz w:val="18"/>
          <w:szCs w:val="18"/>
          <w:lang w:val="es-CO"/>
        </w:rPr>
        <w:t>“6. Aprovechamiento de nuevas plantaciones forestales, incluida la guadua, según la calificación que para el efecto expida la corporación autónoma regional o la entidad competente.</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i/>
          <w:iCs/>
          <w:color w:val="auto"/>
          <w:sz w:val="18"/>
          <w:szCs w:val="18"/>
          <w:lang w:val="es-CO"/>
        </w:rPr>
        <w:t> </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i/>
          <w:iCs/>
          <w:color w:val="auto"/>
          <w:sz w:val="18"/>
          <w:szCs w:val="18"/>
          <w:lang w:val="es-CO"/>
        </w:rPr>
        <w:t xml:space="preserve">En las mismas condiciones, gozarán de la exención los contribuyentes que a partir de la fecha de entrada en vigencia de la presente Ley realicen inversiones en nuevos aserríos vinculados directamente al aprovechamiento a que se refiere este numeral. También gozarán de la exención de que trata este numeral, los contribuyentes </w:t>
      </w:r>
      <w:proofErr w:type="gramStart"/>
      <w:r w:rsidRPr="00773107">
        <w:rPr>
          <w:rFonts w:eastAsia="Times New Roman" w:cs="Times New Roman"/>
          <w:i/>
          <w:iCs/>
          <w:color w:val="auto"/>
          <w:sz w:val="18"/>
          <w:szCs w:val="18"/>
          <w:lang w:val="es-CO"/>
        </w:rPr>
        <w:t>que</w:t>
      </w:r>
      <w:proofErr w:type="gramEnd"/>
      <w:r w:rsidRPr="00773107">
        <w:rPr>
          <w:rFonts w:eastAsia="Times New Roman" w:cs="Times New Roman"/>
          <w:i/>
          <w:iCs/>
          <w:color w:val="auto"/>
          <w:sz w:val="18"/>
          <w:szCs w:val="18"/>
          <w:lang w:val="es-CO"/>
        </w:rPr>
        <w:t xml:space="preserve"> a la fecha de entrada en vigencia de la presente ley, posean plantaciones de árboles maderables debidamente registrados ante la autoridad competente. La exención queda sujeta a la renovación técnica de los cultivos.” (..)”</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 </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De otra parte el </w:t>
      </w:r>
      <w:hyperlink r:id="rId11" w:tooltip="Estatuto Tributario CETA" w:history="1">
        <w:r w:rsidRPr="00773107">
          <w:rPr>
            <w:rFonts w:eastAsia="Times New Roman" w:cs="Times New Roman"/>
            <w:color w:val="auto"/>
            <w:sz w:val="18"/>
            <w:szCs w:val="18"/>
            <w:u w:val="single"/>
            <w:lang w:val="es-CO"/>
          </w:rPr>
          <w:t>artículo 191</w:t>
        </w:r>
      </w:hyperlink>
      <w:r w:rsidRPr="00773107">
        <w:rPr>
          <w:rFonts w:eastAsia="Times New Roman" w:cs="Times New Roman"/>
          <w:color w:val="auto"/>
          <w:sz w:val="18"/>
          <w:szCs w:val="18"/>
          <w:lang w:val="es-CO"/>
        </w:rPr>
        <w:t> del mismo texto normativo dispone respecto de la renta presuntiva:</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b/>
          <w:bCs/>
          <w:color w:val="auto"/>
          <w:sz w:val="18"/>
          <w:szCs w:val="18"/>
          <w:lang w:val="es-CO"/>
        </w:rPr>
        <w:t> </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b/>
          <w:bCs/>
          <w:color w:val="auto"/>
          <w:sz w:val="18"/>
          <w:szCs w:val="18"/>
          <w:lang w:val="es-CO"/>
        </w:rPr>
        <w:t>“</w:t>
      </w:r>
      <w:hyperlink r:id="rId12" w:tooltip="Estatuto Tributario CETA" w:history="1">
        <w:r w:rsidRPr="00773107">
          <w:rPr>
            <w:rFonts w:eastAsia="Times New Roman" w:cs="Times New Roman"/>
            <w:b/>
            <w:bCs/>
            <w:color w:val="auto"/>
            <w:sz w:val="18"/>
            <w:szCs w:val="18"/>
            <w:u w:val="single"/>
            <w:lang w:val="es-CO"/>
          </w:rPr>
          <w:t>ARTÍCULO 191</w:t>
        </w:r>
      </w:hyperlink>
      <w:r w:rsidRPr="00773107">
        <w:rPr>
          <w:rFonts w:eastAsia="Times New Roman" w:cs="Times New Roman"/>
          <w:b/>
          <w:bCs/>
          <w:color w:val="auto"/>
          <w:sz w:val="18"/>
          <w:szCs w:val="18"/>
          <w:lang w:val="es-CO"/>
        </w:rPr>
        <w:t>. EXCLUSIONES DE LA RENTA PRESUNTIVA.</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color w:val="auto"/>
          <w:sz w:val="18"/>
          <w:szCs w:val="18"/>
          <w:lang w:val="es-CO"/>
        </w:rPr>
        <w:t>&lt;Artículo modificado por el artículo 11 de la Ley 1111 de 2006. El nuevo texto es el siguiente:&gt; De la presunción establecida en el </w:t>
      </w:r>
      <w:hyperlink r:id="rId13" w:tooltip="Estatuto Tributario CETA" w:history="1">
        <w:r w:rsidRPr="00773107">
          <w:rPr>
            <w:rFonts w:eastAsia="Times New Roman" w:cs="Times New Roman"/>
            <w:color w:val="auto"/>
            <w:sz w:val="18"/>
            <w:szCs w:val="18"/>
            <w:u w:val="single"/>
            <w:lang w:val="es-CO"/>
          </w:rPr>
          <w:t>artículo 188</w:t>
        </w:r>
      </w:hyperlink>
      <w:r w:rsidRPr="00773107">
        <w:rPr>
          <w:rFonts w:eastAsia="Times New Roman" w:cs="Times New Roman"/>
          <w:color w:val="auto"/>
          <w:sz w:val="18"/>
          <w:szCs w:val="18"/>
          <w:lang w:val="es-CO"/>
        </w:rPr>
        <w:t> se excluyen:</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color w:val="auto"/>
          <w:sz w:val="18"/>
          <w:szCs w:val="18"/>
          <w:lang w:val="es-CO"/>
        </w:rPr>
        <w:t> </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color w:val="auto"/>
          <w:sz w:val="18"/>
          <w:szCs w:val="18"/>
          <w:lang w:val="es-CO"/>
        </w:rPr>
        <w:t>(…)</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color w:val="auto"/>
          <w:sz w:val="18"/>
          <w:szCs w:val="18"/>
          <w:lang w:val="es-CO"/>
        </w:rPr>
        <w:t>13. A partir del 1o de enero de 2003 y por el término de vigencia de la exención, los activos vinculados a las actividades contempladas en los numerales 1o, 2o, 3o, 6o y 9o del </w:t>
      </w:r>
      <w:hyperlink r:id="rId14" w:tooltip="Estatuto Tributario CETA" w:history="1">
        <w:r w:rsidRPr="00773107">
          <w:rPr>
            <w:rFonts w:eastAsia="Times New Roman" w:cs="Times New Roman"/>
            <w:color w:val="auto"/>
            <w:sz w:val="18"/>
            <w:szCs w:val="18"/>
            <w:u w:val="single"/>
            <w:lang w:val="es-CO"/>
          </w:rPr>
          <w:t>artículo 207-2</w:t>
        </w:r>
      </w:hyperlink>
      <w:r w:rsidRPr="00773107">
        <w:rPr>
          <w:rFonts w:eastAsia="Times New Roman" w:cs="Times New Roman"/>
          <w:color w:val="auto"/>
          <w:sz w:val="18"/>
          <w:szCs w:val="18"/>
          <w:lang w:val="es-CO"/>
        </w:rPr>
        <w:t> de este Estatuto, en los términos que establezca el reglamento. (…)”</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 </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Ahora bien, respecto de las rentas exentas, la Ley 1819 de 2016 efectuó algunas modificaciones y derogatorias. Específicamente en lo que a esta exención se refiere, el artículo 376 derogó el numeral 6 del </w:t>
      </w:r>
      <w:hyperlink r:id="rId15" w:tooltip="Estatuto Tributario CETA" w:history="1">
        <w:r w:rsidRPr="00773107">
          <w:rPr>
            <w:rFonts w:eastAsia="Times New Roman" w:cs="Times New Roman"/>
            <w:color w:val="auto"/>
            <w:sz w:val="18"/>
            <w:szCs w:val="18"/>
            <w:u w:val="single"/>
            <w:lang w:val="es-CO"/>
          </w:rPr>
          <w:t>artículo 207-2</w:t>
        </w:r>
      </w:hyperlink>
      <w:r w:rsidRPr="00773107">
        <w:rPr>
          <w:rFonts w:eastAsia="Times New Roman" w:cs="Times New Roman"/>
          <w:color w:val="auto"/>
          <w:sz w:val="18"/>
          <w:szCs w:val="18"/>
          <w:lang w:val="es-CO"/>
        </w:rPr>
        <w:t> citado que la contenía.</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 </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 xml:space="preserve">Sin </w:t>
      </w:r>
      <w:proofErr w:type="gramStart"/>
      <w:r w:rsidRPr="00773107">
        <w:rPr>
          <w:rFonts w:eastAsia="Times New Roman" w:cs="Times New Roman"/>
          <w:color w:val="auto"/>
          <w:sz w:val="18"/>
          <w:szCs w:val="18"/>
          <w:lang w:val="es-CO"/>
        </w:rPr>
        <w:t>embargo</w:t>
      </w:r>
      <w:proofErr w:type="gramEnd"/>
      <w:r w:rsidRPr="00773107">
        <w:rPr>
          <w:rFonts w:eastAsia="Times New Roman" w:cs="Times New Roman"/>
          <w:color w:val="auto"/>
          <w:sz w:val="18"/>
          <w:szCs w:val="18"/>
          <w:lang w:val="es-CO"/>
        </w:rPr>
        <w:t xml:space="preserve"> el artículo 99 de la misma ley, adicionó el Estatuto Tributario con el artículo 235-2 consagrando las rentas exentas a partir del 1 de enero de 2018 y la incluye:</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b/>
          <w:bCs/>
          <w:i/>
          <w:iCs/>
          <w:color w:val="auto"/>
          <w:sz w:val="18"/>
          <w:szCs w:val="18"/>
          <w:lang w:val="es-CO"/>
        </w:rPr>
        <w:t> </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b/>
          <w:bCs/>
          <w:i/>
          <w:iCs/>
          <w:color w:val="auto"/>
          <w:sz w:val="18"/>
          <w:szCs w:val="18"/>
          <w:lang w:val="es-CO"/>
        </w:rPr>
        <w:t>“</w:t>
      </w:r>
      <w:hyperlink r:id="rId16" w:tooltip="Estatuto Tributario CETA" w:history="1">
        <w:r w:rsidRPr="00773107">
          <w:rPr>
            <w:rFonts w:eastAsia="Times New Roman" w:cs="Times New Roman"/>
            <w:b/>
            <w:bCs/>
            <w:i/>
            <w:iCs/>
            <w:color w:val="auto"/>
            <w:sz w:val="18"/>
            <w:szCs w:val="18"/>
            <w:u w:val="single"/>
            <w:lang w:val="es-CO"/>
          </w:rPr>
          <w:t>ARTÍCULO 235-2</w:t>
        </w:r>
      </w:hyperlink>
      <w:r w:rsidRPr="00773107">
        <w:rPr>
          <w:rFonts w:eastAsia="Times New Roman" w:cs="Times New Roman"/>
          <w:b/>
          <w:bCs/>
          <w:i/>
          <w:iCs/>
          <w:color w:val="auto"/>
          <w:sz w:val="18"/>
          <w:szCs w:val="18"/>
          <w:lang w:val="es-CO"/>
        </w:rPr>
        <w:t>. RENTAS EXENTAS A PARTIR DEL AÑO GRAVABLE 2018.</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i/>
          <w:iCs/>
          <w:color w:val="auto"/>
          <w:sz w:val="18"/>
          <w:szCs w:val="18"/>
          <w:lang w:val="es-CO"/>
        </w:rPr>
        <w:lastRenderedPageBreak/>
        <w:t>&lt;Artículo adicionado por el artículo 99 de la Ley 1819 de 2016. El nuevo texto es el siguiente:&gt; A partir del 1o de enero de 2018, sin perjuicio de las rentas exentas de las personas naturales, las únicas excepciones legales de que trata el </w:t>
      </w:r>
      <w:hyperlink r:id="rId17" w:tooltip="Estatuto Tributario CETA" w:history="1">
        <w:r w:rsidRPr="00773107">
          <w:rPr>
            <w:rFonts w:eastAsia="Times New Roman" w:cs="Times New Roman"/>
            <w:i/>
            <w:iCs/>
            <w:color w:val="auto"/>
            <w:sz w:val="18"/>
            <w:szCs w:val="18"/>
            <w:u w:val="single"/>
            <w:lang w:val="es-CO"/>
          </w:rPr>
          <w:t>artículo 26</w:t>
        </w:r>
      </w:hyperlink>
      <w:r w:rsidRPr="00773107">
        <w:rPr>
          <w:rFonts w:eastAsia="Times New Roman" w:cs="Times New Roman"/>
          <w:i/>
          <w:iCs/>
          <w:color w:val="auto"/>
          <w:sz w:val="18"/>
          <w:szCs w:val="18"/>
          <w:lang w:val="es-CO"/>
        </w:rPr>
        <w:t> del Estatuto Tributario con las siguientes:</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i/>
          <w:iCs/>
          <w:color w:val="auto"/>
          <w:sz w:val="18"/>
          <w:szCs w:val="18"/>
          <w:lang w:val="es-CO"/>
        </w:rPr>
        <w:t> </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i/>
          <w:iCs/>
          <w:color w:val="auto"/>
          <w:sz w:val="18"/>
          <w:szCs w:val="18"/>
          <w:lang w:val="es-CO"/>
        </w:rPr>
        <w:t>1. Las rentas exentas de la Decisión 578 de la CAN.</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i/>
          <w:iCs/>
          <w:color w:val="auto"/>
          <w:sz w:val="18"/>
          <w:szCs w:val="18"/>
          <w:lang w:val="es-CO"/>
        </w:rPr>
        <w:t>2. Las rentas de que tratan los artículos 4 o del Decreto 841 de 1998 y 135 de la Ley 100 de 1993.</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i/>
          <w:iCs/>
          <w:color w:val="auto"/>
          <w:sz w:val="18"/>
          <w:szCs w:val="18"/>
          <w:lang w:val="es-CO"/>
        </w:rPr>
        <w:t>3. La renta exenta de que trata el numeral 12 del </w:t>
      </w:r>
      <w:hyperlink r:id="rId18" w:tooltip="Estatuto Tributario CETA" w:history="1">
        <w:r w:rsidRPr="00773107">
          <w:rPr>
            <w:rFonts w:eastAsia="Times New Roman" w:cs="Times New Roman"/>
            <w:i/>
            <w:iCs/>
            <w:color w:val="auto"/>
            <w:sz w:val="18"/>
            <w:szCs w:val="18"/>
            <w:u w:val="single"/>
            <w:lang w:val="es-CO"/>
          </w:rPr>
          <w:t>artículo 207-2</w:t>
        </w:r>
      </w:hyperlink>
      <w:r w:rsidRPr="00773107">
        <w:rPr>
          <w:rFonts w:eastAsia="Times New Roman" w:cs="Times New Roman"/>
          <w:i/>
          <w:iCs/>
          <w:color w:val="auto"/>
          <w:sz w:val="18"/>
          <w:szCs w:val="18"/>
          <w:lang w:val="es-CO"/>
        </w:rPr>
        <w:t> de este Estatuto en los mismos términos allí previstos.</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i/>
          <w:iCs/>
          <w:color w:val="auto"/>
          <w:sz w:val="18"/>
          <w:szCs w:val="18"/>
          <w:lang w:val="es-CO"/>
        </w:rPr>
        <w:t>4. Aprovechamiento de nuevas plantaciones forestales, incluida la guadua, según la calificación que para el efecto expida la corporación autónoma regional o la entidad competente.</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i/>
          <w:iCs/>
          <w:color w:val="auto"/>
          <w:sz w:val="18"/>
          <w:szCs w:val="18"/>
          <w:lang w:val="es-CO"/>
        </w:rPr>
        <w:t> </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i/>
          <w:iCs/>
          <w:color w:val="auto"/>
          <w:sz w:val="18"/>
          <w:szCs w:val="18"/>
          <w:lang w:val="es-CO"/>
        </w:rPr>
        <w:t xml:space="preserve">En las mismas condiciones, gozarán de la exención los contribuyentes que a partir de la fecha de entrada en vigencia de la presente ley realicen inversiones en nuevos aserríos vinculados directamente al aprovechamiento a que se refiere este numeral. También gozarán de la exención de que trata este numeral, los contribuyentes </w:t>
      </w:r>
      <w:proofErr w:type="gramStart"/>
      <w:r w:rsidRPr="00773107">
        <w:rPr>
          <w:rFonts w:eastAsia="Times New Roman" w:cs="Times New Roman"/>
          <w:i/>
          <w:iCs/>
          <w:color w:val="auto"/>
          <w:sz w:val="18"/>
          <w:szCs w:val="18"/>
          <w:lang w:val="es-CO"/>
        </w:rPr>
        <w:t>que</w:t>
      </w:r>
      <w:proofErr w:type="gramEnd"/>
      <w:r w:rsidRPr="00773107">
        <w:rPr>
          <w:rFonts w:eastAsia="Times New Roman" w:cs="Times New Roman"/>
          <w:i/>
          <w:iCs/>
          <w:color w:val="auto"/>
          <w:sz w:val="18"/>
          <w:szCs w:val="18"/>
          <w:lang w:val="es-CO"/>
        </w:rPr>
        <w:t xml:space="preserve"> a la fecha de entrada en vigencia de la presente ley, posean plantaciones de árboles maderables debidamente registrados ante la autoridad competente. La exención queda sujeta a la renovación técnica de los cultivos.</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i/>
          <w:iCs/>
          <w:color w:val="auto"/>
          <w:sz w:val="18"/>
          <w:szCs w:val="18"/>
          <w:lang w:val="es-CO"/>
        </w:rPr>
        <w:t> </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i/>
          <w:iCs/>
          <w:color w:val="auto"/>
          <w:sz w:val="18"/>
          <w:szCs w:val="18"/>
          <w:lang w:val="es-CO"/>
        </w:rPr>
        <w:t>La exención de que trata el presente numeral estará vigente hasta el año gravable 2036, incluido (…)</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 </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Con lo expuesto podría entenderse que la ley de reforma tributaria retira el beneficio de la exención por el año gravable 2017, sin embargo el parágrafo 2 del nuevo </w:t>
      </w:r>
      <w:hyperlink r:id="rId19" w:tooltip="Estatuto Tributario CETA" w:history="1">
        <w:r w:rsidRPr="00773107">
          <w:rPr>
            <w:rFonts w:eastAsia="Times New Roman" w:cs="Times New Roman"/>
            <w:color w:val="auto"/>
            <w:sz w:val="18"/>
            <w:szCs w:val="18"/>
            <w:u w:val="single"/>
            <w:lang w:val="es-CO"/>
          </w:rPr>
          <w:t>artículo 235-2</w:t>
        </w:r>
      </w:hyperlink>
      <w:r w:rsidRPr="00773107">
        <w:rPr>
          <w:rFonts w:eastAsia="Times New Roman" w:cs="Times New Roman"/>
          <w:color w:val="auto"/>
          <w:sz w:val="18"/>
          <w:szCs w:val="18"/>
          <w:lang w:val="es-CO"/>
        </w:rPr>
        <w:t>corregido mediante el artículo 2o del Decreto 939 de 2017 (Corrección de yerros), precisa que estas rentas exentas se aplicarán también por el año 2017 siempre que se cumplan los requisitos establecidos en el Estatuto Tributario.</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b/>
          <w:bCs/>
          <w:color w:val="auto"/>
          <w:sz w:val="18"/>
          <w:szCs w:val="18"/>
          <w:lang w:val="es-CO"/>
        </w:rPr>
        <w:t> </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b/>
          <w:bCs/>
          <w:color w:val="auto"/>
          <w:sz w:val="18"/>
          <w:szCs w:val="18"/>
          <w:lang w:val="es-CO"/>
        </w:rPr>
        <w:t>“CORRECCIÓN DEL ARTÍCULO 99 DE LA LEY 1819 DE 2016.</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color w:val="auto"/>
          <w:sz w:val="18"/>
          <w:szCs w:val="18"/>
          <w:lang w:val="es-CO"/>
        </w:rPr>
        <w:t>Corríjase el yerro contenido en el parágrafo 2o del </w:t>
      </w:r>
      <w:hyperlink r:id="rId20" w:tooltip="Estatuto Tributario CETA" w:history="1">
        <w:r w:rsidRPr="00773107">
          <w:rPr>
            <w:rFonts w:eastAsia="Times New Roman" w:cs="Times New Roman"/>
            <w:color w:val="auto"/>
            <w:sz w:val="18"/>
            <w:szCs w:val="18"/>
            <w:u w:val="single"/>
            <w:lang w:val="es-CO"/>
          </w:rPr>
          <w:t>artículo 235-2</w:t>
        </w:r>
      </w:hyperlink>
      <w:r w:rsidRPr="00773107">
        <w:rPr>
          <w:rFonts w:eastAsia="Times New Roman" w:cs="Times New Roman"/>
          <w:color w:val="auto"/>
          <w:sz w:val="18"/>
          <w:szCs w:val="18"/>
          <w:lang w:val="es-CO"/>
        </w:rPr>
        <w:t> del Estatuto Tributario, adicionado por el artículo 99 de la Ley 1819 de 2016, parágrafo que quedará así:</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color w:val="auto"/>
          <w:sz w:val="18"/>
          <w:szCs w:val="18"/>
          <w:lang w:val="es-CO"/>
        </w:rPr>
        <w:t> </w:t>
      </w:r>
    </w:p>
    <w:p w:rsidR="00773107" w:rsidRPr="00773107" w:rsidRDefault="00773107" w:rsidP="00773107">
      <w:pPr>
        <w:spacing w:line="240" w:lineRule="auto"/>
        <w:ind w:left="180"/>
        <w:rPr>
          <w:rFonts w:eastAsia="Times New Roman" w:cs="Times New Roman"/>
          <w:color w:val="auto"/>
          <w:sz w:val="18"/>
          <w:szCs w:val="18"/>
          <w:lang w:val="es-CO"/>
        </w:rPr>
      </w:pPr>
      <w:r w:rsidRPr="00773107">
        <w:rPr>
          <w:rFonts w:eastAsia="Times New Roman" w:cs="Times New Roman"/>
          <w:b/>
          <w:bCs/>
          <w:color w:val="auto"/>
          <w:sz w:val="18"/>
          <w:szCs w:val="18"/>
          <w:lang w:val="es-CO"/>
        </w:rPr>
        <w:t>Parágrafo 2o.</w:t>
      </w:r>
      <w:r w:rsidRPr="00773107">
        <w:rPr>
          <w:rFonts w:eastAsia="Times New Roman" w:cs="Times New Roman"/>
          <w:color w:val="auto"/>
          <w:sz w:val="18"/>
          <w:szCs w:val="18"/>
          <w:lang w:val="es-CO"/>
        </w:rPr>
        <w:t> Las rentas exentas de que trata el numeral 4, se aplicarán también durante el año 2017 en la medida en que se cumpla con los requisitos previstos en el reglamento correspondiente para su procedencia.”</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 </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Ahora bien, debe tenerse en cuenta que la exención del numeral 4 del </w:t>
      </w:r>
      <w:hyperlink r:id="rId21" w:tooltip="Estatuto Tributario CETA" w:history="1">
        <w:r w:rsidRPr="00773107">
          <w:rPr>
            <w:rFonts w:eastAsia="Times New Roman" w:cs="Times New Roman"/>
            <w:color w:val="auto"/>
            <w:sz w:val="18"/>
            <w:szCs w:val="18"/>
            <w:u w:val="single"/>
            <w:lang w:val="es-CO"/>
          </w:rPr>
          <w:t>artículo 235-2</w:t>
        </w:r>
      </w:hyperlink>
      <w:r w:rsidRPr="00773107">
        <w:rPr>
          <w:rFonts w:eastAsia="Times New Roman" w:cs="Times New Roman"/>
          <w:color w:val="auto"/>
          <w:sz w:val="18"/>
          <w:szCs w:val="18"/>
          <w:lang w:val="es-CO"/>
        </w:rPr>
        <w:t> en cita, no se extiende como lo plantea el consultante a </w:t>
      </w:r>
      <w:r w:rsidRPr="00773107">
        <w:rPr>
          <w:rFonts w:eastAsia="Times New Roman" w:cs="Times New Roman"/>
          <w:i/>
          <w:iCs/>
          <w:color w:val="auto"/>
          <w:sz w:val="18"/>
          <w:szCs w:val="18"/>
          <w:lang w:val="es-CO"/>
        </w:rPr>
        <w:t>“los empresarios de la cadena productiva forestal, maderas, muebles y productos de madera en Colombia” </w:t>
      </w:r>
      <w:r w:rsidRPr="00773107">
        <w:rPr>
          <w:rFonts w:eastAsia="Times New Roman" w:cs="Times New Roman"/>
          <w:color w:val="auto"/>
          <w:sz w:val="18"/>
          <w:szCs w:val="18"/>
          <w:lang w:val="es-CO"/>
        </w:rPr>
        <w:t>sino que se encuentra limitada en los precisos términos del artículo que la concede. Sobre el particular se anexas el Oficio No. 008326 de 3 de febrero de 2009</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 </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Si se analiza el contenido del </w:t>
      </w:r>
      <w:hyperlink r:id="rId22" w:tooltip="Estatuto Tributario CETA" w:history="1">
        <w:r w:rsidRPr="00773107">
          <w:rPr>
            <w:rFonts w:eastAsia="Times New Roman" w:cs="Times New Roman"/>
            <w:color w:val="auto"/>
            <w:sz w:val="18"/>
            <w:szCs w:val="18"/>
            <w:u w:val="single"/>
            <w:lang w:val="es-CO"/>
          </w:rPr>
          <w:t>artículo 191</w:t>
        </w:r>
      </w:hyperlink>
      <w:r w:rsidRPr="00773107">
        <w:rPr>
          <w:rFonts w:eastAsia="Times New Roman" w:cs="Times New Roman"/>
          <w:color w:val="auto"/>
          <w:sz w:val="18"/>
          <w:szCs w:val="18"/>
          <w:lang w:val="es-CO"/>
        </w:rPr>
        <w:t> del ordenamiento tributario en su tenor literal, en el numeral 13 hace referencia –entre otros, al numeral 6 del </w:t>
      </w:r>
      <w:hyperlink r:id="rId23" w:tooltip="Estatuto Tributario CETA" w:history="1">
        <w:r w:rsidRPr="00773107">
          <w:rPr>
            <w:rFonts w:eastAsia="Times New Roman" w:cs="Times New Roman"/>
            <w:color w:val="auto"/>
            <w:sz w:val="18"/>
            <w:szCs w:val="18"/>
            <w:u w:val="single"/>
            <w:lang w:val="es-CO"/>
          </w:rPr>
          <w:t>artículo 207-2</w:t>
        </w:r>
      </w:hyperlink>
      <w:r w:rsidRPr="00773107">
        <w:rPr>
          <w:rFonts w:eastAsia="Times New Roman" w:cs="Times New Roman"/>
          <w:color w:val="auto"/>
          <w:sz w:val="18"/>
          <w:szCs w:val="18"/>
          <w:lang w:val="es-CO"/>
        </w:rPr>
        <w:t> hoy derogado y así en principio se llegaría a afirmar que no asiste el derecho a la exclusión de la renta presuntiva de los activos vinculados a esta actividad. Sin embargo no debe perderse de vista que esta exención a que hace referencia este numeral 13, es la misma hoy contenida en el numeral 4 del </w:t>
      </w:r>
      <w:hyperlink r:id="rId24" w:tooltip="Estatuto Tributario CETA" w:history="1">
        <w:r w:rsidRPr="00773107">
          <w:rPr>
            <w:rFonts w:eastAsia="Times New Roman" w:cs="Times New Roman"/>
            <w:color w:val="auto"/>
            <w:sz w:val="18"/>
            <w:szCs w:val="18"/>
            <w:u w:val="single"/>
            <w:lang w:val="es-CO"/>
          </w:rPr>
          <w:t>artículo 235-2</w:t>
        </w:r>
      </w:hyperlink>
      <w:r w:rsidRPr="00773107">
        <w:rPr>
          <w:rFonts w:eastAsia="Times New Roman" w:cs="Times New Roman"/>
          <w:color w:val="auto"/>
          <w:sz w:val="18"/>
          <w:szCs w:val="18"/>
          <w:lang w:val="es-CO"/>
        </w:rPr>
        <w:t> ibídem.</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 </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Con ello, debe acudirse al artículo 30 del Código Civil que fija la regla de interpretación por contexto cuando dispone: “El contexto de la Ley servirá para ilustrar el sentido de cada una de sus partes, de manera que haya entre ellas la debida correspondencia y armonía ..“ Es decir y como lo expresa Jaime Giraldo Ángel en su libro Metodología y Técnica de la Investigación Jurídica citado por esta dependencia en algunos pronunciamientos </w:t>
      </w:r>
      <w:r w:rsidRPr="00773107">
        <w:rPr>
          <w:rFonts w:eastAsia="Times New Roman" w:cs="Times New Roman"/>
          <w:i/>
          <w:iCs/>
          <w:color w:val="auto"/>
          <w:sz w:val="18"/>
          <w:szCs w:val="18"/>
          <w:lang w:val="es-CO"/>
        </w:rPr>
        <w:t xml:space="preserve">“no debe olvidarse que “… El derecho constituye un sistema, y solamente bajo la perspectiva de entenderlo como tal puede el jurista aproximarse a su conocimiento, de tal manera que la norma debe ser comprendida como una parte de ese sistema y debe ser interpretada, para aplicarla a casos concretos, teniendo en cuenta la funcionalidad dentro del mismo … No es posible perder de vista la totalidad, ya que lo general se expresa en lo particular o lo que es lo mismo, el todo se contiene y se expresa como referencia obligada en la parte </w:t>
      </w:r>
      <w:proofErr w:type="gramStart"/>
      <w:r w:rsidRPr="00773107">
        <w:rPr>
          <w:rFonts w:eastAsia="Times New Roman" w:cs="Times New Roman"/>
          <w:i/>
          <w:iCs/>
          <w:color w:val="auto"/>
          <w:sz w:val="18"/>
          <w:szCs w:val="18"/>
          <w:lang w:val="es-CO"/>
        </w:rPr>
        <w:t>…“ Giraldo</w:t>
      </w:r>
      <w:proofErr w:type="gramEnd"/>
      <w:r w:rsidRPr="00773107">
        <w:rPr>
          <w:rFonts w:eastAsia="Times New Roman" w:cs="Times New Roman"/>
          <w:i/>
          <w:iCs/>
          <w:color w:val="auto"/>
          <w:sz w:val="18"/>
          <w:szCs w:val="18"/>
          <w:lang w:val="es-CO"/>
        </w:rPr>
        <w:t xml:space="preserve"> Ángel Jaime, “Metodología y Técnica de la Investigación Jurídica” </w:t>
      </w:r>
      <w:proofErr w:type="spellStart"/>
      <w:r w:rsidRPr="00773107">
        <w:rPr>
          <w:rFonts w:eastAsia="Times New Roman" w:cs="Times New Roman"/>
          <w:i/>
          <w:iCs/>
          <w:color w:val="auto"/>
          <w:sz w:val="18"/>
          <w:szCs w:val="18"/>
          <w:lang w:val="es-CO"/>
        </w:rPr>
        <w:t>pag</w:t>
      </w:r>
      <w:proofErr w:type="spellEnd"/>
      <w:r w:rsidRPr="00773107">
        <w:rPr>
          <w:rFonts w:eastAsia="Times New Roman" w:cs="Times New Roman"/>
          <w:i/>
          <w:iCs/>
          <w:color w:val="auto"/>
          <w:sz w:val="18"/>
          <w:szCs w:val="18"/>
          <w:lang w:val="es-CO"/>
        </w:rPr>
        <w:t>. 231” Concepto 048712 de 25 de mayo de 1999.</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 </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Por lo que este despacho con lo anteriormente expuesto puede concluir que las actividades previstas de manera taxativa en el numeral 4 del </w:t>
      </w:r>
      <w:hyperlink r:id="rId25" w:tooltip="Estatuto Tributario CETA" w:history="1">
        <w:r w:rsidRPr="00773107">
          <w:rPr>
            <w:rFonts w:eastAsia="Times New Roman" w:cs="Times New Roman"/>
            <w:color w:val="auto"/>
            <w:sz w:val="18"/>
            <w:szCs w:val="18"/>
            <w:u w:val="single"/>
            <w:lang w:val="es-CO"/>
          </w:rPr>
          <w:t>artículo 235-2</w:t>
        </w:r>
      </w:hyperlink>
      <w:r w:rsidRPr="00773107">
        <w:rPr>
          <w:rFonts w:eastAsia="Times New Roman" w:cs="Times New Roman"/>
          <w:color w:val="auto"/>
          <w:sz w:val="18"/>
          <w:szCs w:val="18"/>
          <w:lang w:val="es-CO"/>
        </w:rPr>
        <w:t> del Estatuto tributario, se encuentran beneficiadas por la exclusión del numeral 13 del </w:t>
      </w:r>
      <w:hyperlink r:id="rId26" w:tooltip="Estatuto Tributario CETA" w:history="1">
        <w:r w:rsidRPr="00773107">
          <w:rPr>
            <w:rFonts w:eastAsia="Times New Roman" w:cs="Times New Roman"/>
            <w:color w:val="auto"/>
            <w:sz w:val="18"/>
            <w:szCs w:val="18"/>
            <w:u w:val="single"/>
            <w:lang w:val="es-CO"/>
          </w:rPr>
          <w:t>artículo 191</w:t>
        </w:r>
      </w:hyperlink>
      <w:r w:rsidRPr="00773107">
        <w:rPr>
          <w:rFonts w:eastAsia="Times New Roman" w:cs="Times New Roman"/>
          <w:color w:val="auto"/>
          <w:sz w:val="18"/>
          <w:szCs w:val="18"/>
          <w:lang w:val="es-CO"/>
        </w:rPr>
        <w:t> del ET y en tal medida los contribuyentes pueden restar los activos vinculados a ellas de la renta presuntiva, de tal forma que esta renta puede incluso llegar a cero.</w:t>
      </w:r>
    </w:p>
    <w:p w:rsidR="00773107" w:rsidRPr="00773107" w:rsidRDefault="00773107" w:rsidP="00773107">
      <w:pPr>
        <w:spacing w:line="240" w:lineRule="auto"/>
        <w:rPr>
          <w:rFonts w:eastAsia="Times New Roman" w:cs="Times New Roman"/>
          <w:color w:val="auto"/>
          <w:sz w:val="18"/>
          <w:szCs w:val="18"/>
          <w:lang w:val="es-CO"/>
        </w:rPr>
      </w:pPr>
    </w:p>
    <w:p w:rsidR="00773107" w:rsidRPr="00773107" w:rsidRDefault="00773107" w:rsidP="00773107">
      <w:pPr>
        <w:spacing w:line="240" w:lineRule="auto"/>
        <w:rPr>
          <w:rFonts w:eastAsia="Times New Roman" w:cs="Times New Roman"/>
          <w:color w:val="auto"/>
          <w:sz w:val="18"/>
          <w:szCs w:val="18"/>
          <w:lang w:val="es-CO"/>
        </w:rPr>
      </w:pPr>
      <w:r w:rsidRPr="00773107">
        <w:rPr>
          <w:rFonts w:cs="Times New Roman"/>
          <w:color w:val="auto"/>
          <w:sz w:val="18"/>
          <w:szCs w:val="18"/>
          <w:shd w:val="clear" w:color="auto" w:fill="FFFFFF"/>
          <w:lang w:val="es-CO"/>
        </w:rPr>
        <w:br/>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Atentamente,</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 </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 </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b/>
          <w:bCs/>
          <w:color w:val="auto"/>
          <w:sz w:val="18"/>
          <w:szCs w:val="18"/>
          <w:lang w:val="es-CO"/>
        </w:rPr>
        <w:t>PEDRO PABLO CONTRERAS CAMARGO</w:t>
      </w:r>
    </w:p>
    <w:p w:rsidR="00773107" w:rsidRPr="00773107" w:rsidRDefault="00773107" w:rsidP="00773107">
      <w:pPr>
        <w:spacing w:line="240" w:lineRule="auto"/>
        <w:rPr>
          <w:rFonts w:eastAsia="Times New Roman" w:cs="Times New Roman"/>
          <w:color w:val="auto"/>
          <w:sz w:val="18"/>
          <w:szCs w:val="18"/>
          <w:lang w:val="es-CO"/>
        </w:rPr>
      </w:pPr>
      <w:r w:rsidRPr="00773107">
        <w:rPr>
          <w:rFonts w:eastAsia="Times New Roman" w:cs="Times New Roman"/>
          <w:color w:val="auto"/>
          <w:sz w:val="18"/>
          <w:szCs w:val="18"/>
          <w:lang w:val="es-CO"/>
        </w:rPr>
        <w:t>Subdirector de Gestión Normativa y Doctrina</w:t>
      </w:r>
    </w:p>
    <w:p w:rsidR="00147980" w:rsidRPr="00773107" w:rsidRDefault="00147980">
      <w:pPr>
        <w:rPr>
          <w:rFonts w:cs="Times New Roman"/>
          <w:color w:val="auto"/>
          <w:lang w:val="es-CO"/>
        </w:rPr>
      </w:pPr>
    </w:p>
    <w:sectPr w:rsidR="00147980" w:rsidRPr="00773107"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07"/>
    <w:rsid w:val="00147980"/>
    <w:rsid w:val="00773107"/>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D602"/>
  <w15:chartTrackingRefBased/>
  <w15:docId w15:val="{651E02DB-F327-4D24-B3E9-5C3776E2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731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23664">
      <w:bodyDiv w:val="1"/>
      <w:marLeft w:val="0"/>
      <w:marRight w:val="0"/>
      <w:marTop w:val="0"/>
      <w:marBottom w:val="0"/>
      <w:divBdr>
        <w:top w:val="none" w:sz="0" w:space="0" w:color="auto"/>
        <w:left w:val="none" w:sz="0" w:space="0" w:color="auto"/>
        <w:bottom w:val="none" w:sz="0" w:space="0" w:color="auto"/>
        <w:right w:val="none" w:sz="0" w:space="0" w:color="auto"/>
      </w:divBdr>
    </w:div>
    <w:div w:id="1586499251">
      <w:bodyDiv w:val="1"/>
      <w:marLeft w:val="0"/>
      <w:marRight w:val="0"/>
      <w:marTop w:val="0"/>
      <w:marBottom w:val="0"/>
      <w:divBdr>
        <w:top w:val="none" w:sz="0" w:space="0" w:color="auto"/>
        <w:left w:val="none" w:sz="0" w:space="0" w:color="auto"/>
        <w:bottom w:val="none" w:sz="0" w:space="0" w:color="auto"/>
        <w:right w:val="none" w:sz="0" w:space="0" w:color="auto"/>
      </w:divBdr>
    </w:div>
    <w:div w:id="192140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56" TargetMode="External"/><Relationship Id="rId13" Type="http://schemas.openxmlformats.org/officeDocument/2006/relationships/hyperlink" Target="https://www.ceta.org.co/html/vista_de_un_articulo.asp?Norma=252" TargetMode="External"/><Relationship Id="rId18" Type="http://schemas.openxmlformats.org/officeDocument/2006/relationships/hyperlink" Target="https://www.ceta.org.co/html/vista_de_un_articulo.asp?Norma=10876" TargetMode="External"/><Relationship Id="rId26" Type="http://schemas.openxmlformats.org/officeDocument/2006/relationships/hyperlink" Target="https://www.ceta.org.co/html/vista_de_un_articulo.asp?Norma=256"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2483" TargetMode="External"/><Relationship Id="rId7" Type="http://schemas.openxmlformats.org/officeDocument/2006/relationships/hyperlink" Target="https://www.ceta.org.co/html/vista_de_un_articulo.asp?Norma=42483" TargetMode="External"/><Relationship Id="rId12" Type="http://schemas.openxmlformats.org/officeDocument/2006/relationships/hyperlink" Target="https://www.ceta.org.co/html/vista_de_un_articulo.asp?Norma=256" TargetMode="External"/><Relationship Id="rId17" Type="http://schemas.openxmlformats.org/officeDocument/2006/relationships/hyperlink" Target="https://www.ceta.org.co/html/vista_de_un_articulo.asp?Norma=56" TargetMode="External"/><Relationship Id="rId25" Type="http://schemas.openxmlformats.org/officeDocument/2006/relationships/hyperlink" Target="https://www.ceta.org.co/html/vista_de_un_articulo.asp?Norma=42483" TargetMode="External"/><Relationship Id="rId2" Type="http://schemas.openxmlformats.org/officeDocument/2006/relationships/settings" Target="settings.xml"/><Relationship Id="rId16" Type="http://schemas.openxmlformats.org/officeDocument/2006/relationships/hyperlink" Target="https://www.ceta.org.co/html/vista_de_un_articulo.asp?Norma=42483" TargetMode="External"/><Relationship Id="rId20" Type="http://schemas.openxmlformats.org/officeDocument/2006/relationships/hyperlink" Target="https://www.ceta.org.co/html/vista_de_un_articulo.asp?Norma=42483" TargetMode="External"/><Relationship Id="rId1" Type="http://schemas.openxmlformats.org/officeDocument/2006/relationships/styles" Target="styles.xml"/><Relationship Id="rId6" Type="http://schemas.openxmlformats.org/officeDocument/2006/relationships/hyperlink" Target="https://www.ceta.org.co/html/vista_de_un_articulo.asp?Norma=42483" TargetMode="External"/><Relationship Id="rId11" Type="http://schemas.openxmlformats.org/officeDocument/2006/relationships/hyperlink" Target="https://www.ceta.org.co/html/vista_de_un_articulo.asp?Norma=256" TargetMode="External"/><Relationship Id="rId24" Type="http://schemas.openxmlformats.org/officeDocument/2006/relationships/hyperlink" Target="https://www.ceta.org.co/html/vista_de_un_articulo.asp?Norma=42483" TargetMode="External"/><Relationship Id="rId5" Type="http://schemas.openxmlformats.org/officeDocument/2006/relationships/hyperlink" Target="https://www.ceta.org.co/html/vista_de_un_articulo.asp?Norma=10876" TargetMode="External"/><Relationship Id="rId15" Type="http://schemas.openxmlformats.org/officeDocument/2006/relationships/hyperlink" Target="https://www.ceta.org.co/html/vista_de_un_articulo.asp?Norma=10876" TargetMode="External"/><Relationship Id="rId23" Type="http://schemas.openxmlformats.org/officeDocument/2006/relationships/hyperlink" Target="https://www.ceta.org.co/html/vista_de_un_articulo.asp?Norma=10876" TargetMode="External"/><Relationship Id="rId28" Type="http://schemas.openxmlformats.org/officeDocument/2006/relationships/theme" Target="theme/theme1.xml"/><Relationship Id="rId10" Type="http://schemas.openxmlformats.org/officeDocument/2006/relationships/hyperlink" Target="https://www.ceta.org.co/html/vista_de_un_articulo.asp?Norma=10876" TargetMode="External"/><Relationship Id="rId19" Type="http://schemas.openxmlformats.org/officeDocument/2006/relationships/hyperlink" Target="https://www.ceta.org.co/html/vista_de_un_articulo.asp?Norma=42483" TargetMode="External"/><Relationship Id="rId4" Type="http://schemas.openxmlformats.org/officeDocument/2006/relationships/hyperlink" Target="mailto:direccion@fedemaderas.org.co" TargetMode="External"/><Relationship Id="rId9" Type="http://schemas.openxmlformats.org/officeDocument/2006/relationships/hyperlink" Target="https://www.ceta.org.co/html/vista_de_un_articulo.asp?Norma=10876" TargetMode="External"/><Relationship Id="rId14" Type="http://schemas.openxmlformats.org/officeDocument/2006/relationships/hyperlink" Target="https://www.ceta.org.co/html/vista_de_un_articulo.asp?Norma=10876" TargetMode="External"/><Relationship Id="rId22" Type="http://schemas.openxmlformats.org/officeDocument/2006/relationships/hyperlink" Target="https://www.ceta.org.co/html/vista_de_un_articulo.asp?Norma=256"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1597</Words>
  <Characters>9104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2018-09-22T14:36:00Z</dcterms:created>
  <dcterms:modified xsi:type="dcterms:W3CDTF">2018-09-22T14:39:00Z</dcterms:modified>
</cp:coreProperties>
</file>