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2B" w:rsidRPr="0022422B" w:rsidRDefault="0022422B" w:rsidP="0022422B">
      <w:pPr>
        <w:spacing w:line="240" w:lineRule="auto"/>
        <w:jc w:val="center"/>
        <w:rPr>
          <w:rFonts w:eastAsia="Times New Roman" w:cs="Times New Roman"/>
          <w:color w:val="auto"/>
          <w:szCs w:val="24"/>
          <w:lang w:val="es-CO"/>
        </w:rPr>
      </w:pPr>
      <w:r w:rsidRPr="0022422B">
        <w:rPr>
          <w:rFonts w:eastAsia="Times New Roman" w:cs="Times New Roman"/>
          <w:b/>
          <w:bCs/>
          <w:color w:val="auto"/>
          <w:szCs w:val="24"/>
          <w:lang w:val="es-CO"/>
        </w:rPr>
        <w:t>OFICIO Nº 000413</w:t>
      </w:r>
    </w:p>
    <w:p w:rsidR="0022422B" w:rsidRPr="0022422B" w:rsidRDefault="0022422B" w:rsidP="0022422B">
      <w:pPr>
        <w:spacing w:line="240" w:lineRule="auto"/>
        <w:jc w:val="center"/>
        <w:rPr>
          <w:rFonts w:eastAsia="Times New Roman" w:cs="Times New Roman"/>
          <w:color w:val="auto"/>
          <w:szCs w:val="24"/>
          <w:lang w:val="es-CO"/>
        </w:rPr>
      </w:pPr>
      <w:r w:rsidRPr="0022422B">
        <w:rPr>
          <w:rFonts w:eastAsia="Times New Roman" w:cs="Times New Roman"/>
          <w:b/>
          <w:bCs/>
          <w:color w:val="auto"/>
          <w:szCs w:val="24"/>
          <w:lang w:val="es-CO"/>
        </w:rPr>
        <w:t>22-03-2018</w:t>
      </w:r>
    </w:p>
    <w:p w:rsidR="0022422B" w:rsidRPr="0022422B" w:rsidRDefault="0022422B" w:rsidP="0022422B">
      <w:pPr>
        <w:spacing w:line="240" w:lineRule="auto"/>
        <w:jc w:val="center"/>
        <w:rPr>
          <w:rFonts w:eastAsia="Times New Roman" w:cs="Times New Roman"/>
          <w:color w:val="auto"/>
          <w:szCs w:val="24"/>
          <w:lang w:val="es-CO"/>
        </w:rPr>
      </w:pPr>
      <w:r w:rsidRPr="0022422B">
        <w:rPr>
          <w:rFonts w:eastAsia="Times New Roman" w:cs="Times New Roman"/>
          <w:b/>
          <w:bCs/>
          <w:color w:val="auto"/>
          <w:szCs w:val="24"/>
          <w:lang w:val="es-CO"/>
        </w:rPr>
        <w:t>DIAN</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Subdirección de Gestión Normativa y Doctrina</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Bogotá, D.C.</w:t>
      </w:r>
      <w:bookmarkStart w:id="0" w:name="_GoBack"/>
      <w:bookmarkEnd w:id="0"/>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100208221- 000413</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Señora:</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b/>
          <w:bCs/>
          <w:color w:val="auto"/>
          <w:szCs w:val="24"/>
          <w:lang w:val="es-CO"/>
        </w:rPr>
        <w:t>LAUREN DANIELA AGUIRRE MONCADA</w:t>
      </w:r>
    </w:p>
    <w:p w:rsidR="0022422B" w:rsidRPr="0022422B" w:rsidRDefault="0022422B" w:rsidP="0022422B">
      <w:pPr>
        <w:spacing w:line="240" w:lineRule="auto"/>
        <w:rPr>
          <w:rFonts w:eastAsia="Times New Roman" w:cs="Times New Roman"/>
          <w:color w:val="auto"/>
          <w:szCs w:val="24"/>
          <w:lang w:val="es-CO"/>
        </w:rPr>
      </w:pPr>
      <w:hyperlink r:id="rId4" w:history="1">
        <w:r w:rsidRPr="0022422B">
          <w:rPr>
            <w:rFonts w:eastAsia="Times New Roman" w:cs="Times New Roman"/>
            <w:color w:val="auto"/>
            <w:szCs w:val="24"/>
            <w:u w:val="single"/>
            <w:lang w:val="es-CO"/>
          </w:rPr>
          <w:t>l.aguirre@acostaarangomorales.com</w:t>
        </w:r>
      </w:hyperlink>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Calle 79 # 7a-30</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Bogotá D.C.</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proofErr w:type="spellStart"/>
      <w:r w:rsidRPr="0022422B">
        <w:rPr>
          <w:rFonts w:eastAsia="Times New Roman" w:cs="Times New Roman"/>
          <w:b/>
          <w:bCs/>
          <w:color w:val="auto"/>
          <w:szCs w:val="24"/>
          <w:lang w:val="es-CO"/>
        </w:rPr>
        <w:t>Ref</w:t>
      </w:r>
      <w:proofErr w:type="spellEnd"/>
      <w:r w:rsidRPr="0022422B">
        <w:rPr>
          <w:rFonts w:eastAsia="Times New Roman" w:cs="Times New Roman"/>
          <w:b/>
          <w:bCs/>
          <w:color w:val="auto"/>
          <w:szCs w:val="24"/>
          <w:lang w:val="es-CO"/>
        </w:rPr>
        <w:t>:</w:t>
      </w:r>
      <w:r w:rsidRPr="0022422B">
        <w:rPr>
          <w:rFonts w:eastAsia="Times New Roman" w:cs="Times New Roman"/>
          <w:color w:val="auto"/>
          <w:szCs w:val="24"/>
          <w:lang w:val="es-CO"/>
        </w:rPr>
        <w:t> Radicado 100004965 del 19/02/2018</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b/>
          <w:bCs/>
          <w:color w:val="auto"/>
          <w:szCs w:val="24"/>
          <w:lang w:val="es-CO"/>
        </w:rPr>
        <w:t>Tema </w:t>
      </w:r>
      <w:r w:rsidRPr="0022422B">
        <w:rPr>
          <w:rFonts w:eastAsia="Times New Roman" w:cs="Times New Roman"/>
          <w:color w:val="auto"/>
          <w:szCs w:val="24"/>
          <w:lang w:val="es-CO"/>
        </w:rPr>
        <w:t>Impuesto a las ventas</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b/>
          <w:bCs/>
          <w:color w:val="auto"/>
          <w:szCs w:val="24"/>
          <w:lang w:val="es-CO"/>
        </w:rPr>
        <w:t>Descriptores </w:t>
      </w:r>
      <w:r w:rsidRPr="0022422B">
        <w:rPr>
          <w:rFonts w:eastAsia="Times New Roman" w:cs="Times New Roman"/>
          <w:color w:val="auto"/>
          <w:szCs w:val="24"/>
          <w:lang w:val="es-CO"/>
        </w:rPr>
        <w:t>Impuestos Descontables – Ajuste. Impuestos Descontables – Condiciones para su Procedencia</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b/>
          <w:bCs/>
          <w:color w:val="auto"/>
          <w:szCs w:val="24"/>
          <w:lang w:val="es-CO"/>
        </w:rPr>
        <w:t>Fuentes formales </w:t>
      </w:r>
      <w:r w:rsidRPr="0022422B">
        <w:rPr>
          <w:rFonts w:eastAsia="Times New Roman" w:cs="Times New Roman"/>
          <w:color w:val="auto"/>
          <w:szCs w:val="24"/>
          <w:lang w:val="es-CO"/>
        </w:rPr>
        <w:t>Artículos </w:t>
      </w:r>
      <w:hyperlink r:id="rId5" w:tooltip="Estatuto Tributario CETA" w:history="1">
        <w:r w:rsidRPr="0022422B">
          <w:rPr>
            <w:rFonts w:eastAsia="Times New Roman" w:cs="Times New Roman"/>
            <w:color w:val="auto"/>
            <w:szCs w:val="24"/>
            <w:u w:val="single"/>
            <w:lang w:val="es-CO"/>
          </w:rPr>
          <w:t>64</w:t>
        </w:r>
      </w:hyperlink>
      <w:r w:rsidRPr="0022422B">
        <w:rPr>
          <w:rFonts w:eastAsia="Times New Roman" w:cs="Times New Roman"/>
          <w:color w:val="auto"/>
          <w:szCs w:val="24"/>
          <w:lang w:val="es-CO"/>
        </w:rPr>
        <w:t> y </w:t>
      </w:r>
      <w:hyperlink r:id="rId6" w:tooltip="Estatuto Tributario CETA" w:history="1">
        <w:r w:rsidRPr="0022422B">
          <w:rPr>
            <w:rFonts w:eastAsia="Times New Roman" w:cs="Times New Roman"/>
            <w:color w:val="auto"/>
            <w:szCs w:val="24"/>
            <w:u w:val="single"/>
            <w:lang w:val="es-CO"/>
          </w:rPr>
          <w:t>486</w:t>
        </w:r>
      </w:hyperlink>
      <w:r w:rsidRPr="0022422B">
        <w:rPr>
          <w:rFonts w:eastAsia="Times New Roman" w:cs="Times New Roman"/>
          <w:color w:val="auto"/>
          <w:szCs w:val="24"/>
          <w:lang w:val="es-CO"/>
        </w:rPr>
        <w:t> del Estatuto Tributario.</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En el marco del artículo </w:t>
      </w:r>
      <w:hyperlink r:id="rId7" w:tooltip="Estatuto Tributario CETA" w:history="1">
        <w:r w:rsidRPr="0022422B">
          <w:rPr>
            <w:rFonts w:eastAsia="Times New Roman" w:cs="Times New Roman"/>
            <w:color w:val="auto"/>
            <w:szCs w:val="24"/>
            <w:u w:val="single"/>
            <w:lang w:val="es-CO"/>
          </w:rPr>
          <w:t>64</w:t>
        </w:r>
      </w:hyperlink>
      <w:r w:rsidRPr="0022422B">
        <w:rPr>
          <w:rFonts w:eastAsia="Times New Roman" w:cs="Times New Roman"/>
          <w:color w:val="auto"/>
          <w:szCs w:val="24"/>
          <w:lang w:val="es-CO"/>
        </w:rPr>
        <w:t> y </w:t>
      </w:r>
      <w:hyperlink r:id="rId8" w:tooltip="Estatuto Tributario CETA" w:history="1">
        <w:r w:rsidRPr="0022422B">
          <w:rPr>
            <w:rFonts w:eastAsia="Times New Roman" w:cs="Times New Roman"/>
            <w:color w:val="auto"/>
            <w:szCs w:val="24"/>
            <w:u w:val="single"/>
            <w:lang w:val="es-CO"/>
          </w:rPr>
          <w:t>486</w:t>
        </w:r>
      </w:hyperlink>
      <w:r w:rsidRPr="0022422B">
        <w:rPr>
          <w:rFonts w:eastAsia="Times New Roman" w:cs="Times New Roman"/>
          <w:color w:val="auto"/>
          <w:szCs w:val="24"/>
          <w:lang w:val="es-CO"/>
        </w:rPr>
        <w:t> del Estatuto Tributario consulta la solicitante:</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2.1.- En el entendido de que la disminución de inventario por obsolescencia (núm. 2 del </w:t>
      </w:r>
      <w:hyperlink r:id="rId9" w:tooltip="Estatuto Tributario CETA" w:history="1">
        <w:r w:rsidRPr="0022422B">
          <w:rPr>
            <w:rFonts w:eastAsia="Times New Roman" w:cs="Times New Roman"/>
            <w:color w:val="auto"/>
            <w:szCs w:val="24"/>
            <w:u w:val="single"/>
            <w:lang w:val="es-CO"/>
          </w:rPr>
          <w:t>artículo 486</w:t>
        </w:r>
      </w:hyperlink>
      <w:r w:rsidRPr="0022422B">
        <w:rPr>
          <w:rFonts w:eastAsia="Times New Roman" w:cs="Times New Roman"/>
          <w:color w:val="auto"/>
          <w:szCs w:val="24"/>
          <w:lang w:val="es-CO"/>
        </w:rPr>
        <w:t>) es una disposición introducida por la reforma tributaria, esto es, posterior a lo dispuesto en el parágrafo del </w:t>
      </w:r>
      <w:hyperlink r:id="rId10" w:tooltip="Estatuto Tributario CETA" w:history="1">
        <w:r w:rsidRPr="0022422B">
          <w:rPr>
            <w:rFonts w:eastAsia="Times New Roman" w:cs="Times New Roman"/>
            <w:color w:val="auto"/>
            <w:szCs w:val="24"/>
            <w:u w:val="single"/>
            <w:lang w:val="es-CO"/>
          </w:rPr>
          <w:t>artículo 486</w:t>
        </w:r>
      </w:hyperlink>
      <w:r w:rsidRPr="0022422B">
        <w:rPr>
          <w:rFonts w:eastAsia="Times New Roman" w:cs="Times New Roman"/>
          <w:color w:val="auto"/>
          <w:szCs w:val="24"/>
          <w:lang w:val="es-CO"/>
        </w:rPr>
        <w:t> ¿Hay lugar a efectuar el ajuste del parágrafo del </w:t>
      </w:r>
      <w:hyperlink r:id="rId11" w:tooltip="Estatuto Tributario CETA" w:history="1">
        <w:r w:rsidRPr="0022422B">
          <w:rPr>
            <w:rFonts w:eastAsia="Times New Roman" w:cs="Times New Roman"/>
            <w:color w:val="auto"/>
            <w:szCs w:val="24"/>
            <w:u w:val="single"/>
            <w:lang w:val="es-CO"/>
          </w:rPr>
          <w:t>artículo 486</w:t>
        </w:r>
      </w:hyperlink>
      <w:r w:rsidRPr="0022422B">
        <w:rPr>
          <w:rFonts w:eastAsia="Times New Roman" w:cs="Times New Roman"/>
          <w:color w:val="auto"/>
          <w:szCs w:val="24"/>
          <w:lang w:val="es-CO"/>
        </w:rPr>
        <w:t>, en lo que tiene que ver con el Impuesto al Valor Agregado –IVA-, en el caso de castigo de inventarios por obsolescencia?</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b/>
          <w:bCs/>
          <w:color w:val="auto"/>
          <w:szCs w:val="24"/>
          <w:lang w:val="es-CO"/>
        </w:rPr>
        <w:t>“</w:t>
      </w:r>
      <w:hyperlink r:id="rId12" w:tooltip="Estatuto Tributario CETA" w:history="1">
        <w:r w:rsidRPr="0022422B">
          <w:rPr>
            <w:rFonts w:eastAsia="Times New Roman" w:cs="Times New Roman"/>
            <w:b/>
            <w:bCs/>
            <w:color w:val="auto"/>
            <w:szCs w:val="24"/>
            <w:u w:val="single"/>
            <w:lang w:val="es-CO"/>
          </w:rPr>
          <w:t>ARTÍCULO 64</w:t>
        </w:r>
      </w:hyperlink>
      <w:r w:rsidRPr="0022422B">
        <w:rPr>
          <w:rFonts w:eastAsia="Times New Roman" w:cs="Times New Roman"/>
          <w:b/>
          <w:bCs/>
          <w:color w:val="auto"/>
          <w:szCs w:val="24"/>
          <w:lang w:val="es-CO"/>
        </w:rPr>
        <w:t>. </w:t>
      </w:r>
      <w:r w:rsidRPr="0022422B">
        <w:rPr>
          <w:rFonts w:eastAsia="Times New Roman" w:cs="Times New Roman"/>
          <w:b/>
          <w:bCs/>
          <w:i/>
          <w:iCs/>
          <w:color w:val="auto"/>
          <w:szCs w:val="24"/>
          <w:lang w:val="es-CO"/>
        </w:rPr>
        <w:t>DISMINUCIÓN DEL INVENTARIO.</w:t>
      </w:r>
      <w:r w:rsidRPr="0022422B">
        <w:rPr>
          <w:rFonts w:eastAsia="Times New Roman" w:cs="Times New Roman"/>
          <w:b/>
          <w:bCs/>
          <w:color w:val="auto"/>
          <w:szCs w:val="24"/>
          <w:lang w:val="es-CO"/>
        </w:rPr>
        <w:t> </w:t>
      </w:r>
      <w:r w:rsidRPr="0022422B">
        <w:rPr>
          <w:rFonts w:eastAsia="Times New Roman" w:cs="Times New Roman"/>
          <w:color w:val="auto"/>
          <w:szCs w:val="24"/>
          <w:lang w:val="es-CO"/>
        </w:rPr>
        <w:t>&lt;Artículo modificado por el artículo 43 de la Ley 1819 de 2016.&gt; Para efectos del Impuesto sobre la renta y complementarios, el inventario podrá disminuirse por los siguientes conceptos:</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1. Cuando se trate de faltantes de inventarios de fácil destrucción o pérdida, las unidades del inventario final pueden disminuirse </w:t>
      </w:r>
      <w:r w:rsidRPr="0022422B">
        <w:rPr>
          <w:rFonts w:eastAsia="Times New Roman" w:cs="Times New Roman"/>
          <w:color w:val="auto"/>
          <w:szCs w:val="24"/>
          <w:u w:val="single"/>
          <w:lang w:val="es-CO"/>
        </w:rPr>
        <w:t>hasta en un tres por ciento (3%) de la suma del inventario inicial más las compras</w:t>
      </w:r>
      <w:r w:rsidRPr="0022422B">
        <w:rPr>
          <w:rFonts w:eastAsia="Times New Roman" w:cs="Times New Roman"/>
          <w:color w:val="auto"/>
          <w:szCs w:val="24"/>
          <w:lang w:val="es-CO"/>
        </w:rPr>
        <w:t>. Si se demostrare la ocurrencia de hechos constitutivos de fuerza mayor o caso fortuito, pueden aceptarse disminuciones mayores.</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lastRenderedPageBreak/>
        <w:t>Cuando el costo de los inventarios vendidos se determine por el sistema de inventario permanente, serán deducibles las disminuciones ocurridas en inventarios de fácil destrucción o pérdida, </w:t>
      </w:r>
      <w:r w:rsidRPr="0022422B">
        <w:rPr>
          <w:rFonts w:eastAsia="Times New Roman" w:cs="Times New Roman"/>
          <w:color w:val="auto"/>
          <w:szCs w:val="24"/>
          <w:u w:val="single"/>
          <w:lang w:val="es-CO"/>
        </w:rPr>
        <w:t>siempre que se demuestre el hecho que dio lugar a la pérdida o destrucción, hasta en un tres por ciento (3%) de la suma del inventario inicial más las compras.</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2. Los inventarios </w:t>
      </w:r>
      <w:r w:rsidRPr="0022422B">
        <w:rPr>
          <w:rFonts w:eastAsia="Times New Roman" w:cs="Times New Roman"/>
          <w:color w:val="auto"/>
          <w:szCs w:val="24"/>
          <w:u w:val="single"/>
          <w:lang w:val="es-CO"/>
        </w:rPr>
        <w:t xml:space="preserve">dados de baja por obsolescencia y debidamente destruidos, reciclados o </w:t>
      </w:r>
      <w:proofErr w:type="spellStart"/>
      <w:r w:rsidRPr="0022422B">
        <w:rPr>
          <w:rFonts w:eastAsia="Times New Roman" w:cs="Times New Roman"/>
          <w:color w:val="auto"/>
          <w:szCs w:val="24"/>
          <w:u w:val="single"/>
          <w:lang w:val="es-CO"/>
        </w:rPr>
        <w:t>chatarrizados</w:t>
      </w:r>
      <w:proofErr w:type="spellEnd"/>
      <w:r w:rsidRPr="0022422B">
        <w:rPr>
          <w:rFonts w:eastAsia="Times New Roman" w:cs="Times New Roman"/>
          <w:color w:val="auto"/>
          <w:szCs w:val="24"/>
          <w:u w:val="single"/>
          <w:lang w:val="es-CO"/>
        </w:rPr>
        <w:t>; siempre y cuando sean diferentes a los previstos en el numeral 1 de este artículo</w:t>
      </w:r>
      <w:r w:rsidRPr="0022422B">
        <w:rPr>
          <w:rFonts w:eastAsia="Times New Roman" w:cs="Times New Roman"/>
          <w:color w:val="auto"/>
          <w:szCs w:val="24"/>
          <w:lang w:val="es-CO"/>
        </w:rPr>
        <w:t>, serán deducibles del impuesto sobre la renta y complementarios en su precio de adquisición, más costos directamente atribuibles y costos de transformación en caso de que sean aplicables. </w:t>
      </w:r>
      <w:r w:rsidRPr="0022422B">
        <w:rPr>
          <w:rFonts w:eastAsia="Times New Roman" w:cs="Times New Roman"/>
          <w:color w:val="auto"/>
          <w:szCs w:val="24"/>
          <w:u w:val="single"/>
          <w:lang w:val="es-CO"/>
        </w:rPr>
        <w:t>Para la aceptación de esta disminución de inventarios se requiere como mínimo un documento donde conste la siguiente información: cantidad, descripción del producto, costo fiscal unitario y total y justificación de la obsolescencia o destrucción, debidamente firmado por el representante legal o quien haga sus veces</w:t>
      </w:r>
      <w:r w:rsidRPr="0022422B">
        <w:rPr>
          <w:rFonts w:eastAsia="Times New Roman" w:cs="Times New Roman"/>
          <w:color w:val="auto"/>
          <w:szCs w:val="24"/>
          <w:lang w:val="es-CO"/>
        </w:rPr>
        <w:t> y las personas responsables de tal destrucción y demás pruebas que sean pertinentes.</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3. En aquellos eventos en que los inventarios se encuentren asegurados, la pérdida fiscal objeto de deducción será la correspondiente a la parte que no se hubiere cubierto por la indemnización o seguros. El mismo tratamiento será aplicable a aquellos casos en los que el valor de la pérdida sea asumido por un tercero.</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b/>
          <w:bCs/>
          <w:color w:val="auto"/>
          <w:szCs w:val="24"/>
          <w:lang w:val="es-CO"/>
        </w:rPr>
        <w:t>PARÁGRAFO 1o. </w:t>
      </w:r>
      <w:r w:rsidRPr="0022422B">
        <w:rPr>
          <w:rFonts w:eastAsia="Times New Roman" w:cs="Times New Roman"/>
          <w:color w:val="auto"/>
          <w:szCs w:val="24"/>
          <w:u w:val="single"/>
          <w:lang w:val="es-CO"/>
        </w:rPr>
        <w:t>El uso de cualquiera de las afectaciones a los inventarios aquí previstas excluye la posibilidad de solicitar dicho valor como deducción</w:t>
      </w:r>
      <w:r w:rsidRPr="0022422B">
        <w:rPr>
          <w:rFonts w:eastAsia="Times New Roman" w:cs="Times New Roman"/>
          <w:color w:val="auto"/>
          <w:szCs w:val="24"/>
          <w:lang w:val="es-CO"/>
        </w:rPr>
        <w:t>.</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b/>
          <w:bCs/>
          <w:color w:val="auto"/>
          <w:szCs w:val="24"/>
          <w:lang w:val="es-CO"/>
        </w:rPr>
        <w:t>PARÁGRAFO 2o. </w:t>
      </w:r>
      <w:r w:rsidRPr="0022422B">
        <w:rPr>
          <w:rFonts w:eastAsia="Times New Roman" w:cs="Times New Roman"/>
          <w:color w:val="auto"/>
          <w:szCs w:val="24"/>
          <w:lang w:val="es-CO"/>
        </w:rPr>
        <w:t>Cuando en aplicación de los casos previstos en este artículo, </w:t>
      </w:r>
      <w:r w:rsidRPr="0022422B">
        <w:rPr>
          <w:rFonts w:eastAsia="Times New Roman" w:cs="Times New Roman"/>
          <w:color w:val="auto"/>
          <w:szCs w:val="24"/>
          <w:u w:val="single"/>
          <w:lang w:val="es-CO"/>
        </w:rPr>
        <w:t>genere algún tipo de ingreso por recuperación, se tratará como una renta líquida por recuperación de deducciones</w:t>
      </w:r>
      <w:r w:rsidRPr="0022422B">
        <w:rPr>
          <w:rFonts w:eastAsia="Times New Roman" w:cs="Times New Roman"/>
          <w:color w:val="auto"/>
          <w:szCs w:val="24"/>
          <w:lang w:val="es-CO"/>
        </w:rPr>
        <w:t>.</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ind w:left="180"/>
        <w:rPr>
          <w:rFonts w:eastAsia="Times New Roman" w:cs="Times New Roman"/>
          <w:color w:val="auto"/>
          <w:szCs w:val="24"/>
          <w:lang w:val="es-CO"/>
        </w:rPr>
      </w:pPr>
      <w:hyperlink r:id="rId13" w:tooltip="Estatuto Tributario CETA" w:history="1">
        <w:r w:rsidRPr="0022422B">
          <w:rPr>
            <w:rFonts w:eastAsia="Times New Roman" w:cs="Times New Roman"/>
            <w:b/>
            <w:bCs/>
            <w:color w:val="auto"/>
            <w:szCs w:val="24"/>
            <w:u w:val="single"/>
            <w:lang w:val="es-CO"/>
          </w:rPr>
          <w:t>ARTÍCULO 486</w:t>
        </w:r>
      </w:hyperlink>
      <w:r w:rsidRPr="0022422B">
        <w:rPr>
          <w:rFonts w:eastAsia="Times New Roman" w:cs="Times New Roman"/>
          <w:b/>
          <w:bCs/>
          <w:color w:val="auto"/>
          <w:szCs w:val="24"/>
          <w:lang w:val="es-CO"/>
        </w:rPr>
        <w:t>. AJUSTE DE LOS IMPUESTOS DESCONTABLES. </w:t>
      </w:r>
      <w:r w:rsidRPr="0022422B">
        <w:rPr>
          <w:rFonts w:eastAsia="Times New Roman" w:cs="Times New Roman"/>
          <w:color w:val="auto"/>
          <w:szCs w:val="24"/>
          <w:lang w:val="es-CO"/>
        </w:rPr>
        <w:t>&lt;Artículo modificado por el artículo 57 de la Ley 1607 de 2012.&gt; El total de los impuestos descontables computables en el período gravable que resulte de acuerdo con lo dispuesto en el artículo anterior &lt;</w:t>
      </w:r>
      <w:hyperlink r:id="rId14" w:tooltip="Estatuto Tributario CETA" w:history="1">
        <w:r w:rsidRPr="0022422B">
          <w:rPr>
            <w:rFonts w:eastAsia="Times New Roman" w:cs="Times New Roman"/>
            <w:color w:val="auto"/>
            <w:szCs w:val="24"/>
            <w:u w:val="single"/>
            <w:lang w:val="es-CO"/>
          </w:rPr>
          <w:t>485</w:t>
        </w:r>
      </w:hyperlink>
      <w:r w:rsidRPr="0022422B">
        <w:rPr>
          <w:rFonts w:eastAsia="Times New Roman" w:cs="Times New Roman"/>
          <w:color w:val="auto"/>
          <w:szCs w:val="24"/>
          <w:lang w:val="es-CO"/>
        </w:rPr>
        <w:t>&gt;, se ajustará restando:</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a) El impuesto correspondiente a los bienes gravados devueltos por el responsable durante el período.</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b) El impuesto correspondiente a adquisiciones gravadas, que se anulen, rescindan, o resuelvan durante el período.</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b/>
          <w:bCs/>
          <w:color w:val="auto"/>
          <w:szCs w:val="24"/>
          <w:lang w:val="es-CO"/>
        </w:rPr>
        <w:t>PARÁGRAFO. </w:t>
      </w:r>
      <w:r w:rsidRPr="0022422B">
        <w:rPr>
          <w:rFonts w:eastAsia="Times New Roman" w:cs="Times New Roman"/>
          <w:color w:val="auto"/>
          <w:szCs w:val="24"/>
          <w:u w:val="single"/>
          <w:lang w:val="es-CO"/>
        </w:rPr>
        <w:t>Habrá lugar al ajuste de que trata este artículo en el caso de pérdidas, hurto o castigo de inventario a menos que el contribuyente demuestre que el bien es de fácil destrucción o pérdida, y la pérdida no excede del 3% del valor de la suma del inventario inicial más las compras.</w:t>
      </w:r>
      <w:r w:rsidRPr="0022422B">
        <w:rPr>
          <w:rFonts w:eastAsia="Times New Roman" w:cs="Times New Roman"/>
          <w:color w:val="auto"/>
          <w:szCs w:val="24"/>
          <w:lang w:val="es-CO"/>
        </w:rPr>
        <w:t>”</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Del contenido integral de las normas transcritas resulta evidente que no existe ninguna contradicción entre el artículo </w:t>
      </w:r>
      <w:hyperlink r:id="rId15" w:tooltip="Estatuto Tributario CETA" w:history="1">
        <w:r w:rsidRPr="0022422B">
          <w:rPr>
            <w:rFonts w:eastAsia="Times New Roman" w:cs="Times New Roman"/>
            <w:color w:val="auto"/>
            <w:szCs w:val="24"/>
            <w:u w:val="single"/>
            <w:lang w:val="es-CO"/>
          </w:rPr>
          <w:t>64</w:t>
        </w:r>
      </w:hyperlink>
      <w:r w:rsidRPr="0022422B">
        <w:rPr>
          <w:rFonts w:eastAsia="Times New Roman" w:cs="Times New Roman"/>
          <w:color w:val="auto"/>
          <w:szCs w:val="24"/>
          <w:lang w:val="es-CO"/>
        </w:rPr>
        <w:t> y </w:t>
      </w:r>
      <w:hyperlink r:id="rId16" w:tooltip="Estatuto Tributario CETA" w:history="1">
        <w:r w:rsidRPr="0022422B">
          <w:rPr>
            <w:rFonts w:eastAsia="Times New Roman" w:cs="Times New Roman"/>
            <w:color w:val="auto"/>
            <w:szCs w:val="24"/>
            <w:u w:val="single"/>
            <w:lang w:val="es-CO"/>
          </w:rPr>
          <w:t>486</w:t>
        </w:r>
      </w:hyperlink>
      <w:r w:rsidRPr="0022422B">
        <w:rPr>
          <w:rFonts w:eastAsia="Times New Roman" w:cs="Times New Roman"/>
          <w:color w:val="auto"/>
          <w:szCs w:val="24"/>
          <w:lang w:val="es-CO"/>
        </w:rPr>
        <w:t> del Estatuto Tributario y que es procedente la aplicación del ajuste de los impuestos descontables tal como se consagra el </w:t>
      </w:r>
      <w:hyperlink r:id="rId17" w:tooltip="Estatuto Tributario CETA" w:history="1">
        <w:r w:rsidRPr="0022422B">
          <w:rPr>
            <w:rFonts w:eastAsia="Times New Roman" w:cs="Times New Roman"/>
            <w:color w:val="auto"/>
            <w:szCs w:val="24"/>
            <w:u w:val="single"/>
            <w:lang w:val="es-CO"/>
          </w:rPr>
          <w:t>artículo 486</w:t>
        </w:r>
      </w:hyperlink>
      <w:r w:rsidRPr="0022422B">
        <w:rPr>
          <w:rFonts w:eastAsia="Times New Roman" w:cs="Times New Roman"/>
          <w:color w:val="auto"/>
          <w:szCs w:val="24"/>
          <w:lang w:val="es-CO"/>
        </w:rPr>
        <w:t> citado.</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En este contexto, si hay lugar a efectuar el ajuste del parágrafo del </w:t>
      </w:r>
      <w:hyperlink r:id="rId18" w:tooltip="Estatuto Tributario CETA" w:history="1">
        <w:r w:rsidRPr="0022422B">
          <w:rPr>
            <w:rFonts w:eastAsia="Times New Roman" w:cs="Times New Roman"/>
            <w:color w:val="auto"/>
            <w:szCs w:val="24"/>
            <w:u w:val="single"/>
            <w:lang w:val="es-CO"/>
          </w:rPr>
          <w:t>artículo 486</w:t>
        </w:r>
      </w:hyperlink>
      <w:r w:rsidRPr="0022422B">
        <w:rPr>
          <w:rFonts w:eastAsia="Times New Roman" w:cs="Times New Roman"/>
          <w:color w:val="auto"/>
          <w:szCs w:val="24"/>
          <w:lang w:val="es-CO"/>
        </w:rPr>
        <w:t>, en lo que tiene que ver con el Impuesto al Valor Agregado –IVA-, en el caso de castigo de inventarios por obsolescencia.</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Lo anterior habida cuenta que esta disposición se refiere al ajuste en el caso de pérdidas, hurto o castigo de inventario a menos que el contribuyente demuestre que el bien es de fácil destrucción o pérdida. Igualmente se deben tener en cuenta todas las limitaciones, condiciones y circunstancias señaladas en el contenido completo de los artículos </w:t>
      </w:r>
      <w:hyperlink r:id="rId19" w:tooltip="Estatuto Tributario CETA" w:history="1">
        <w:r w:rsidRPr="0022422B">
          <w:rPr>
            <w:rFonts w:eastAsia="Times New Roman" w:cs="Times New Roman"/>
            <w:color w:val="auto"/>
            <w:szCs w:val="24"/>
            <w:u w:val="single"/>
            <w:lang w:val="es-CO"/>
          </w:rPr>
          <w:t>64</w:t>
        </w:r>
      </w:hyperlink>
      <w:r w:rsidRPr="0022422B">
        <w:rPr>
          <w:rFonts w:eastAsia="Times New Roman" w:cs="Times New Roman"/>
          <w:color w:val="auto"/>
          <w:szCs w:val="24"/>
          <w:lang w:val="es-CO"/>
        </w:rPr>
        <w:t> y </w:t>
      </w:r>
      <w:hyperlink r:id="rId20" w:tooltip="Estatuto Tributario CETA" w:history="1">
        <w:r w:rsidRPr="0022422B">
          <w:rPr>
            <w:rFonts w:eastAsia="Times New Roman" w:cs="Times New Roman"/>
            <w:color w:val="auto"/>
            <w:szCs w:val="24"/>
            <w:u w:val="single"/>
            <w:lang w:val="es-CO"/>
          </w:rPr>
          <w:t>486</w:t>
        </w:r>
      </w:hyperlink>
      <w:r w:rsidRPr="0022422B">
        <w:rPr>
          <w:rFonts w:eastAsia="Times New Roman" w:cs="Times New Roman"/>
          <w:color w:val="auto"/>
          <w:szCs w:val="24"/>
          <w:lang w:val="es-CO"/>
        </w:rPr>
        <w:t>del Estatuto Tributario.</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lastRenderedPageBreak/>
        <w:t>2.2.- De ser positiva la anterior respuesta, ¿cómo debe efectuarse ese ajuste? ¿Contra qué cuenta debo imputar el gasto generado por este ajuste?</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El ajuste como movimiento debe ser registrado en las cuentas contables dispuestas para este fin por el contribuyente y declarado de acuerdo con el renglón 78 del formulario 300 y su instructivo que reza:</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ind w:left="180"/>
        <w:rPr>
          <w:rFonts w:eastAsia="Times New Roman" w:cs="Times New Roman"/>
          <w:color w:val="auto"/>
          <w:szCs w:val="24"/>
          <w:lang w:val="es-CO"/>
        </w:rPr>
      </w:pPr>
      <w:r w:rsidRPr="0022422B">
        <w:rPr>
          <w:rFonts w:eastAsia="Times New Roman" w:cs="Times New Roman"/>
          <w:b/>
          <w:bCs/>
          <w:color w:val="auto"/>
          <w:szCs w:val="24"/>
          <w:lang w:val="es-CO"/>
        </w:rPr>
        <w:t xml:space="preserve">“78. </w:t>
      </w:r>
      <w:proofErr w:type="gramStart"/>
      <w:r w:rsidRPr="0022422B">
        <w:rPr>
          <w:rFonts w:eastAsia="Times New Roman" w:cs="Times New Roman"/>
          <w:b/>
          <w:bCs/>
          <w:color w:val="auto"/>
          <w:szCs w:val="24"/>
          <w:lang w:val="es-CO"/>
        </w:rPr>
        <w:t>Ajuste impuestos</w:t>
      </w:r>
      <w:proofErr w:type="gramEnd"/>
      <w:r w:rsidRPr="0022422B">
        <w:rPr>
          <w:rFonts w:eastAsia="Times New Roman" w:cs="Times New Roman"/>
          <w:b/>
          <w:bCs/>
          <w:color w:val="auto"/>
          <w:szCs w:val="24"/>
          <w:lang w:val="es-CO"/>
        </w:rPr>
        <w:t xml:space="preserve"> descontables (pérdidas, hurto, o castigo de inventarios).</w:t>
      </w:r>
      <w:r w:rsidRPr="0022422B">
        <w:rPr>
          <w:rFonts w:eastAsia="Times New Roman" w:cs="Times New Roman"/>
          <w:color w:val="auto"/>
          <w:szCs w:val="24"/>
          <w:lang w:val="es-CO"/>
        </w:rPr>
        <w:t> Registre en esta casilla el valor del ajuste a realizar a los impuestos descontables por efectos de pérdidas, hurto o castigo de inventarios de conformidad con lo dispuesto en el parágrafo del </w:t>
      </w:r>
      <w:hyperlink r:id="rId21" w:tooltip="Estatuto Tributario CETA" w:history="1">
        <w:r w:rsidRPr="0022422B">
          <w:rPr>
            <w:rFonts w:eastAsia="Times New Roman" w:cs="Times New Roman"/>
            <w:color w:val="auto"/>
            <w:szCs w:val="24"/>
            <w:u w:val="single"/>
            <w:lang w:val="es-CO"/>
          </w:rPr>
          <w:t>artículo 486</w:t>
        </w:r>
      </w:hyperlink>
      <w:r w:rsidRPr="0022422B">
        <w:rPr>
          <w:rFonts w:eastAsia="Times New Roman" w:cs="Times New Roman"/>
          <w:color w:val="auto"/>
          <w:szCs w:val="24"/>
          <w:lang w:val="es-CO"/>
        </w:rPr>
        <w:t> del E.T”</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Atentamente,</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 </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b/>
          <w:bCs/>
          <w:color w:val="auto"/>
          <w:szCs w:val="24"/>
          <w:lang w:val="es-CO"/>
        </w:rPr>
        <w:t>PEDRO PABLO CONTRERAS CAMARGO</w:t>
      </w:r>
    </w:p>
    <w:p w:rsidR="0022422B" w:rsidRPr="0022422B" w:rsidRDefault="0022422B" w:rsidP="0022422B">
      <w:pPr>
        <w:spacing w:line="240" w:lineRule="auto"/>
        <w:rPr>
          <w:rFonts w:eastAsia="Times New Roman" w:cs="Times New Roman"/>
          <w:color w:val="auto"/>
          <w:szCs w:val="24"/>
          <w:lang w:val="es-CO"/>
        </w:rPr>
      </w:pPr>
      <w:r w:rsidRPr="0022422B">
        <w:rPr>
          <w:rFonts w:eastAsia="Times New Roman" w:cs="Times New Roman"/>
          <w:color w:val="auto"/>
          <w:szCs w:val="24"/>
          <w:lang w:val="es-CO"/>
        </w:rPr>
        <w:t>Subdirector de Gestión Normativa y Doctrina</w:t>
      </w:r>
    </w:p>
    <w:p w:rsidR="00147980" w:rsidRPr="0022422B" w:rsidRDefault="00147980">
      <w:pPr>
        <w:rPr>
          <w:rFonts w:cs="Times New Roman"/>
          <w:color w:val="auto"/>
          <w:szCs w:val="24"/>
          <w:lang w:val="es-CO"/>
        </w:rPr>
      </w:pPr>
    </w:p>
    <w:sectPr w:rsidR="00147980" w:rsidRPr="0022422B"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2B"/>
    <w:rsid w:val="00147980"/>
    <w:rsid w:val="0022422B"/>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98FC8-77B1-42AE-8F1D-70EB7B62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10" TargetMode="External"/><Relationship Id="rId13" Type="http://schemas.openxmlformats.org/officeDocument/2006/relationships/hyperlink" Target="https://www.ceta.org.co/html/vista_de_un_articulo.asp?Norma=610" TargetMode="External"/><Relationship Id="rId18" Type="http://schemas.openxmlformats.org/officeDocument/2006/relationships/hyperlink" Target="https://www.ceta.org.co/html/vista_de_un_articulo.asp?Norma=610"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610" TargetMode="External"/><Relationship Id="rId7" Type="http://schemas.openxmlformats.org/officeDocument/2006/relationships/hyperlink" Target="https://www.ceta.org.co/html/vista_de_un_articulo.asp?Norma=105" TargetMode="External"/><Relationship Id="rId12" Type="http://schemas.openxmlformats.org/officeDocument/2006/relationships/hyperlink" Target="https://www.ceta.org.co/html/vista_de_un_articulo.asp?Norma=105" TargetMode="External"/><Relationship Id="rId17" Type="http://schemas.openxmlformats.org/officeDocument/2006/relationships/hyperlink" Target="https://www.ceta.org.co/html/vista_de_un_articulo.asp?Norma=610" TargetMode="External"/><Relationship Id="rId2" Type="http://schemas.openxmlformats.org/officeDocument/2006/relationships/settings" Target="settings.xml"/><Relationship Id="rId16" Type="http://schemas.openxmlformats.org/officeDocument/2006/relationships/hyperlink" Target="https://www.ceta.org.co/html/vista_de_un_articulo.asp?Norma=610" TargetMode="External"/><Relationship Id="rId20" Type="http://schemas.openxmlformats.org/officeDocument/2006/relationships/hyperlink" Target="https://www.ceta.org.co/html/vista_de_un_articulo.asp?Norma=610" TargetMode="External"/><Relationship Id="rId1" Type="http://schemas.openxmlformats.org/officeDocument/2006/relationships/styles" Target="styles.xml"/><Relationship Id="rId6" Type="http://schemas.openxmlformats.org/officeDocument/2006/relationships/hyperlink" Target="https://www.ceta.org.co/html/vista_de_un_articulo.asp?Norma=610" TargetMode="External"/><Relationship Id="rId11" Type="http://schemas.openxmlformats.org/officeDocument/2006/relationships/hyperlink" Target="https://www.ceta.org.co/html/vista_de_un_articulo.asp?Norma=610" TargetMode="External"/><Relationship Id="rId5" Type="http://schemas.openxmlformats.org/officeDocument/2006/relationships/hyperlink" Target="https://www.ceta.org.co/html/vista_de_un_articulo.asp?Norma=105" TargetMode="External"/><Relationship Id="rId15" Type="http://schemas.openxmlformats.org/officeDocument/2006/relationships/hyperlink" Target="https://www.ceta.org.co/html/vista_de_un_articulo.asp?Norma=105" TargetMode="External"/><Relationship Id="rId23" Type="http://schemas.openxmlformats.org/officeDocument/2006/relationships/theme" Target="theme/theme1.xml"/><Relationship Id="rId10" Type="http://schemas.openxmlformats.org/officeDocument/2006/relationships/hyperlink" Target="https://www.ceta.org.co/html/vista_de_un_articulo.asp?Norma=610" TargetMode="External"/><Relationship Id="rId19" Type="http://schemas.openxmlformats.org/officeDocument/2006/relationships/hyperlink" Target="https://www.ceta.org.co/html/vista_de_un_articulo.asp?Norma=105" TargetMode="External"/><Relationship Id="rId4" Type="http://schemas.openxmlformats.org/officeDocument/2006/relationships/hyperlink" Target="mailto:l.aguirre@acostaarangomorales.com" TargetMode="External"/><Relationship Id="rId9" Type="http://schemas.openxmlformats.org/officeDocument/2006/relationships/hyperlink" Target="https://www.ceta.org.co/html/vista_de_un_articulo.asp?Norma=610" TargetMode="External"/><Relationship Id="rId14" Type="http://schemas.openxmlformats.org/officeDocument/2006/relationships/hyperlink" Target="https://www.ceta.org.co/html/vista_de_un_articulo.asp?Norma=607"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2018-04-27T03:34:00Z</dcterms:created>
  <dcterms:modified xsi:type="dcterms:W3CDTF">2018-04-27T03:36:00Z</dcterms:modified>
</cp:coreProperties>
</file>