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0C82" w:rsidRPr="003D0C82" w:rsidRDefault="003D0C82" w:rsidP="003D0C82">
      <w:pPr>
        <w:spacing w:line="240" w:lineRule="auto"/>
        <w:jc w:val="center"/>
        <w:rPr>
          <w:rFonts w:ascii="Arial" w:eastAsia="Times New Roman" w:hAnsi="Arial"/>
          <w:color w:val="auto"/>
          <w:sz w:val="18"/>
          <w:szCs w:val="18"/>
          <w:lang w:val="es-CO"/>
        </w:rPr>
      </w:pPr>
      <w:r w:rsidRPr="003D0C82">
        <w:rPr>
          <w:rFonts w:ascii="Segoe UI" w:eastAsia="Times New Roman" w:hAnsi="Segoe UI" w:cs="Segoe UI"/>
          <w:b/>
          <w:bCs/>
          <w:color w:val="0000FF"/>
          <w:sz w:val="28"/>
          <w:szCs w:val="28"/>
          <w:lang w:val="es-CO"/>
        </w:rPr>
        <w:br/>
        <w:t>OFICIO Nº 000319</w:t>
      </w:r>
    </w:p>
    <w:p w:rsidR="003D0C82" w:rsidRPr="003D0C82" w:rsidRDefault="003D0C82" w:rsidP="003D0C82">
      <w:pPr>
        <w:spacing w:line="240" w:lineRule="auto"/>
        <w:jc w:val="center"/>
        <w:rPr>
          <w:rFonts w:ascii="Arial" w:eastAsia="Times New Roman" w:hAnsi="Arial"/>
          <w:color w:val="auto"/>
          <w:sz w:val="18"/>
          <w:szCs w:val="18"/>
          <w:lang w:val="es-CO"/>
        </w:rPr>
      </w:pPr>
      <w:r w:rsidRPr="003D0C82">
        <w:rPr>
          <w:rFonts w:ascii="Segoe UI" w:eastAsia="Times New Roman" w:hAnsi="Segoe UI" w:cs="Segoe UI"/>
          <w:b/>
          <w:bCs/>
          <w:color w:val="0000FF"/>
          <w:sz w:val="28"/>
          <w:szCs w:val="28"/>
          <w:lang w:val="es-CO"/>
        </w:rPr>
        <w:t>05-01-2018</w:t>
      </w:r>
    </w:p>
    <w:p w:rsidR="003D0C82" w:rsidRPr="003D0C82" w:rsidRDefault="003D0C82" w:rsidP="003D0C82">
      <w:pPr>
        <w:spacing w:line="240" w:lineRule="auto"/>
        <w:jc w:val="center"/>
        <w:rPr>
          <w:rFonts w:ascii="Arial" w:eastAsia="Times New Roman" w:hAnsi="Arial"/>
          <w:color w:val="auto"/>
          <w:sz w:val="18"/>
          <w:szCs w:val="18"/>
          <w:lang w:val="es-CO"/>
        </w:rPr>
      </w:pPr>
      <w:r w:rsidRPr="003D0C82">
        <w:rPr>
          <w:rFonts w:ascii="Segoe UI" w:eastAsia="Times New Roman" w:hAnsi="Segoe UI" w:cs="Segoe UI"/>
          <w:b/>
          <w:bCs/>
          <w:color w:val="0000FF"/>
          <w:sz w:val="28"/>
          <w:szCs w:val="28"/>
          <w:lang w:val="es-CO"/>
        </w:rPr>
        <w:t>DIAN</w:t>
      </w:r>
    </w:p>
    <w:p w:rsidR="003D0C82" w:rsidRPr="003D0C82" w:rsidRDefault="003D0C82" w:rsidP="003D0C82">
      <w:pPr>
        <w:spacing w:line="240" w:lineRule="auto"/>
        <w:jc w:val="center"/>
        <w:rPr>
          <w:rFonts w:ascii="Arial" w:eastAsia="Times New Roman" w:hAnsi="Arial"/>
          <w:color w:val="auto"/>
          <w:sz w:val="18"/>
          <w:szCs w:val="18"/>
          <w:lang w:val="es-CO"/>
        </w:rPr>
      </w:pPr>
    </w:p>
    <w:p w:rsidR="003D0C82" w:rsidRPr="003D0C82" w:rsidRDefault="003D0C82" w:rsidP="003D0C82">
      <w:pPr>
        <w:spacing w:line="240" w:lineRule="auto"/>
        <w:rPr>
          <w:rFonts w:ascii="Arial" w:eastAsia="Times New Roman" w:hAnsi="Arial"/>
          <w:color w:val="auto"/>
          <w:sz w:val="18"/>
          <w:szCs w:val="18"/>
          <w:lang w:val="es-CO"/>
        </w:rPr>
      </w:pPr>
      <w:r w:rsidRPr="003D0C82">
        <w:rPr>
          <w:rFonts w:ascii="Segoe UI" w:eastAsia="Times New Roman" w:hAnsi="Segoe UI" w:cs="Segoe UI"/>
          <w:b/>
          <w:bCs/>
          <w:color w:val="0000FF"/>
          <w:sz w:val="18"/>
          <w:szCs w:val="18"/>
          <w:lang w:val="es-CO"/>
        </w:rPr>
        <w:t> </w:t>
      </w:r>
    </w:p>
    <w:p w:rsidR="003D0C82" w:rsidRPr="003D0C82" w:rsidRDefault="003D0C82" w:rsidP="003D0C82">
      <w:pPr>
        <w:spacing w:line="240" w:lineRule="auto"/>
        <w:rPr>
          <w:rFonts w:ascii="Arial" w:eastAsia="Times New Roman" w:hAnsi="Arial"/>
          <w:color w:val="auto"/>
          <w:sz w:val="18"/>
          <w:szCs w:val="18"/>
          <w:lang w:val="es-CO"/>
        </w:rPr>
      </w:pPr>
      <w:r w:rsidRPr="003D0C82">
        <w:rPr>
          <w:rFonts w:ascii="Segoe UI" w:eastAsia="Times New Roman" w:hAnsi="Segoe UI" w:cs="Segoe UI"/>
          <w:color w:val="auto"/>
          <w:sz w:val="18"/>
          <w:szCs w:val="18"/>
          <w:lang w:val="es-CO"/>
        </w:rPr>
        <w:t>Subdirección de Gestión Normativa y Doctrina</w:t>
      </w:r>
    </w:p>
    <w:p w:rsidR="003D0C82" w:rsidRPr="003D0C82" w:rsidRDefault="003D0C82" w:rsidP="003D0C82">
      <w:pPr>
        <w:spacing w:line="240" w:lineRule="auto"/>
        <w:rPr>
          <w:rFonts w:ascii="Arial" w:eastAsia="Times New Roman" w:hAnsi="Arial"/>
          <w:color w:val="auto"/>
          <w:sz w:val="18"/>
          <w:szCs w:val="18"/>
          <w:lang w:val="es-CO"/>
        </w:rPr>
      </w:pPr>
      <w:r w:rsidRPr="003D0C82">
        <w:rPr>
          <w:rFonts w:ascii="Segoe UI" w:eastAsia="Times New Roman" w:hAnsi="Segoe UI" w:cs="Segoe UI"/>
          <w:color w:val="auto"/>
          <w:sz w:val="18"/>
          <w:szCs w:val="18"/>
          <w:lang w:val="es-CO"/>
        </w:rPr>
        <w:t>Bogotá, D.C.</w:t>
      </w:r>
    </w:p>
    <w:p w:rsidR="003D0C82" w:rsidRPr="003D0C82" w:rsidRDefault="003D0C82" w:rsidP="003D0C82">
      <w:pPr>
        <w:spacing w:line="240" w:lineRule="auto"/>
        <w:rPr>
          <w:rFonts w:ascii="Arial" w:eastAsia="Times New Roman" w:hAnsi="Arial"/>
          <w:color w:val="auto"/>
          <w:sz w:val="18"/>
          <w:szCs w:val="18"/>
          <w:lang w:val="es-CO"/>
        </w:rPr>
      </w:pPr>
      <w:r w:rsidRPr="003D0C82">
        <w:rPr>
          <w:rFonts w:ascii="Segoe UI" w:eastAsia="Times New Roman" w:hAnsi="Segoe UI" w:cs="Segoe UI"/>
          <w:color w:val="auto"/>
          <w:sz w:val="18"/>
          <w:szCs w:val="18"/>
          <w:lang w:val="es-CO"/>
        </w:rPr>
        <w:t>100208221- 002003</w:t>
      </w:r>
    </w:p>
    <w:p w:rsidR="003D0C82" w:rsidRPr="003D0C82" w:rsidRDefault="003D0C82" w:rsidP="003D0C82">
      <w:pPr>
        <w:spacing w:line="240" w:lineRule="auto"/>
        <w:rPr>
          <w:rFonts w:ascii="Arial" w:eastAsia="Times New Roman" w:hAnsi="Arial"/>
          <w:color w:val="auto"/>
          <w:sz w:val="18"/>
          <w:szCs w:val="18"/>
          <w:lang w:val="es-CO"/>
        </w:rPr>
      </w:pPr>
      <w:r w:rsidRPr="003D0C82">
        <w:rPr>
          <w:rFonts w:ascii="Segoe UI" w:eastAsia="Times New Roman" w:hAnsi="Segoe UI" w:cs="Segoe UI"/>
          <w:color w:val="auto"/>
          <w:sz w:val="18"/>
          <w:szCs w:val="18"/>
          <w:lang w:val="es-CO"/>
        </w:rPr>
        <w:t> </w:t>
      </w:r>
    </w:p>
    <w:p w:rsidR="003D0C82" w:rsidRPr="003D0C82" w:rsidRDefault="003D0C82" w:rsidP="003D0C82">
      <w:pPr>
        <w:spacing w:line="240" w:lineRule="auto"/>
        <w:rPr>
          <w:rFonts w:ascii="Arial" w:eastAsia="Times New Roman" w:hAnsi="Arial"/>
          <w:color w:val="auto"/>
          <w:sz w:val="18"/>
          <w:szCs w:val="18"/>
          <w:lang w:val="es-CO"/>
        </w:rPr>
      </w:pPr>
      <w:r w:rsidRPr="003D0C82">
        <w:rPr>
          <w:rFonts w:ascii="Segoe UI" w:eastAsia="Times New Roman" w:hAnsi="Segoe UI" w:cs="Segoe UI"/>
          <w:color w:val="auto"/>
          <w:sz w:val="18"/>
          <w:szCs w:val="18"/>
          <w:lang w:val="es-CO"/>
        </w:rPr>
        <w:t>Señor</w:t>
      </w:r>
    </w:p>
    <w:p w:rsidR="003D0C82" w:rsidRPr="003D0C82" w:rsidRDefault="003D0C82" w:rsidP="003D0C82">
      <w:pPr>
        <w:spacing w:line="240" w:lineRule="auto"/>
        <w:rPr>
          <w:rFonts w:ascii="Arial" w:eastAsia="Times New Roman" w:hAnsi="Arial"/>
          <w:color w:val="auto"/>
          <w:sz w:val="18"/>
          <w:szCs w:val="18"/>
          <w:lang w:val="es-CO"/>
        </w:rPr>
      </w:pPr>
      <w:r w:rsidRPr="003D0C82">
        <w:rPr>
          <w:rFonts w:ascii="Segoe UI" w:eastAsia="Times New Roman" w:hAnsi="Segoe UI" w:cs="Segoe UI"/>
          <w:b/>
          <w:bCs/>
          <w:color w:val="auto"/>
          <w:sz w:val="18"/>
          <w:szCs w:val="18"/>
          <w:lang w:val="es-CO"/>
        </w:rPr>
        <w:t>FABIÁN HERNANDO GUIO BARRERA</w:t>
      </w:r>
    </w:p>
    <w:p w:rsidR="003D0C82" w:rsidRPr="003D0C82" w:rsidRDefault="003D0C82" w:rsidP="003D0C82">
      <w:pPr>
        <w:spacing w:line="240" w:lineRule="auto"/>
        <w:rPr>
          <w:rFonts w:ascii="Arial" w:eastAsia="Times New Roman" w:hAnsi="Arial"/>
          <w:color w:val="auto"/>
          <w:sz w:val="18"/>
          <w:szCs w:val="18"/>
          <w:lang w:val="es-CO"/>
        </w:rPr>
      </w:pPr>
      <w:r w:rsidRPr="003D0C82">
        <w:rPr>
          <w:rFonts w:ascii="Segoe UI" w:eastAsia="Times New Roman" w:hAnsi="Segoe UI" w:cs="Segoe UI"/>
          <w:color w:val="auto"/>
          <w:sz w:val="18"/>
          <w:szCs w:val="18"/>
          <w:lang w:val="es-CO"/>
        </w:rPr>
        <w:t>Representante Legal</w:t>
      </w:r>
      <w:bookmarkStart w:id="0" w:name="_GoBack"/>
      <w:bookmarkEnd w:id="0"/>
    </w:p>
    <w:p w:rsidR="003D0C82" w:rsidRPr="003D0C82" w:rsidRDefault="003D0C82" w:rsidP="003D0C82">
      <w:pPr>
        <w:spacing w:line="240" w:lineRule="auto"/>
        <w:rPr>
          <w:rFonts w:ascii="Arial" w:eastAsia="Times New Roman" w:hAnsi="Arial"/>
          <w:color w:val="auto"/>
          <w:sz w:val="18"/>
          <w:szCs w:val="18"/>
          <w:lang w:val="es-CO"/>
        </w:rPr>
      </w:pPr>
      <w:r w:rsidRPr="003D0C82">
        <w:rPr>
          <w:rFonts w:ascii="Segoe UI" w:eastAsia="Times New Roman" w:hAnsi="Segoe UI" w:cs="Segoe UI"/>
          <w:color w:val="auto"/>
          <w:sz w:val="18"/>
          <w:szCs w:val="18"/>
          <w:lang w:val="es-CO"/>
        </w:rPr>
        <w:t>Tv 76 Nº 130-48</w:t>
      </w:r>
    </w:p>
    <w:p w:rsidR="003D0C82" w:rsidRPr="003D0C82" w:rsidRDefault="003D0C82" w:rsidP="003D0C82">
      <w:pPr>
        <w:spacing w:line="240" w:lineRule="auto"/>
        <w:rPr>
          <w:rFonts w:ascii="Arial" w:eastAsia="Times New Roman" w:hAnsi="Arial"/>
          <w:color w:val="auto"/>
          <w:sz w:val="18"/>
          <w:szCs w:val="18"/>
          <w:lang w:val="es-CO"/>
        </w:rPr>
      </w:pPr>
      <w:hyperlink r:id="rId4" w:history="1">
        <w:r w:rsidRPr="003D0C82">
          <w:rPr>
            <w:rFonts w:ascii="Segoe UI" w:eastAsia="Times New Roman" w:hAnsi="Segoe UI" w:cs="Segoe UI"/>
            <w:color w:val="0089E1"/>
            <w:sz w:val="18"/>
            <w:szCs w:val="18"/>
            <w:u w:val="single"/>
            <w:lang w:val="es-CO"/>
          </w:rPr>
          <w:t>fabherguibar@gmail.com</w:t>
        </w:r>
      </w:hyperlink>
    </w:p>
    <w:p w:rsidR="003D0C82" w:rsidRPr="003D0C82" w:rsidRDefault="003D0C82" w:rsidP="003D0C82">
      <w:pPr>
        <w:spacing w:line="240" w:lineRule="auto"/>
        <w:rPr>
          <w:rFonts w:ascii="Arial" w:eastAsia="Times New Roman" w:hAnsi="Arial"/>
          <w:color w:val="auto"/>
          <w:sz w:val="18"/>
          <w:szCs w:val="18"/>
          <w:lang w:val="es-CO"/>
        </w:rPr>
      </w:pPr>
      <w:r w:rsidRPr="003D0C82">
        <w:rPr>
          <w:rFonts w:ascii="Segoe UI" w:eastAsia="Times New Roman" w:hAnsi="Segoe UI" w:cs="Segoe UI"/>
          <w:color w:val="auto"/>
          <w:sz w:val="18"/>
          <w:szCs w:val="18"/>
          <w:lang w:val="es-CO"/>
        </w:rPr>
        <w:t>Bogotá</w:t>
      </w:r>
    </w:p>
    <w:p w:rsidR="003D0C82" w:rsidRPr="003D0C82" w:rsidRDefault="003D0C82" w:rsidP="003D0C82">
      <w:pPr>
        <w:spacing w:line="240" w:lineRule="auto"/>
        <w:rPr>
          <w:rFonts w:ascii="Arial" w:eastAsia="Times New Roman" w:hAnsi="Arial"/>
          <w:color w:val="auto"/>
          <w:sz w:val="18"/>
          <w:szCs w:val="18"/>
          <w:lang w:val="es-CO"/>
        </w:rPr>
      </w:pPr>
      <w:r w:rsidRPr="003D0C82">
        <w:rPr>
          <w:rFonts w:ascii="Segoe UI" w:eastAsia="Times New Roman" w:hAnsi="Segoe UI" w:cs="Segoe UI"/>
          <w:color w:val="auto"/>
          <w:sz w:val="18"/>
          <w:szCs w:val="18"/>
          <w:lang w:val="es-CO"/>
        </w:rPr>
        <w:t> </w:t>
      </w:r>
    </w:p>
    <w:p w:rsidR="003D0C82" w:rsidRPr="003D0C82" w:rsidRDefault="003D0C82" w:rsidP="003D0C82">
      <w:pPr>
        <w:spacing w:line="240" w:lineRule="auto"/>
        <w:rPr>
          <w:rFonts w:ascii="Arial" w:eastAsia="Times New Roman" w:hAnsi="Arial"/>
          <w:color w:val="auto"/>
          <w:sz w:val="18"/>
          <w:szCs w:val="18"/>
          <w:lang w:val="es-CO"/>
        </w:rPr>
      </w:pPr>
      <w:proofErr w:type="spellStart"/>
      <w:r w:rsidRPr="003D0C82">
        <w:rPr>
          <w:rFonts w:ascii="Segoe UI" w:eastAsia="Times New Roman" w:hAnsi="Segoe UI" w:cs="Segoe UI"/>
          <w:b/>
          <w:bCs/>
          <w:color w:val="auto"/>
          <w:sz w:val="18"/>
          <w:szCs w:val="18"/>
          <w:lang w:val="es-CO"/>
        </w:rPr>
        <w:t>Ref</w:t>
      </w:r>
      <w:proofErr w:type="spellEnd"/>
      <w:r w:rsidRPr="003D0C82">
        <w:rPr>
          <w:rFonts w:ascii="Segoe UI" w:eastAsia="Times New Roman" w:hAnsi="Segoe UI" w:cs="Segoe UI"/>
          <w:b/>
          <w:bCs/>
          <w:color w:val="auto"/>
          <w:sz w:val="18"/>
          <w:szCs w:val="18"/>
          <w:lang w:val="es-CO"/>
        </w:rPr>
        <w:t>:</w:t>
      </w:r>
      <w:r w:rsidRPr="003D0C82">
        <w:rPr>
          <w:rFonts w:ascii="Segoe UI" w:eastAsia="Times New Roman" w:hAnsi="Segoe UI" w:cs="Segoe UI"/>
          <w:color w:val="auto"/>
          <w:sz w:val="18"/>
          <w:szCs w:val="18"/>
          <w:lang w:val="es-CO"/>
        </w:rPr>
        <w:t> Radicado 100078101 del 23/11/2017</w:t>
      </w:r>
    </w:p>
    <w:p w:rsidR="003D0C82" w:rsidRPr="003D0C82" w:rsidRDefault="003D0C82" w:rsidP="003D0C82">
      <w:pPr>
        <w:spacing w:line="240" w:lineRule="auto"/>
        <w:rPr>
          <w:rFonts w:ascii="Arial" w:eastAsia="Times New Roman" w:hAnsi="Arial"/>
          <w:color w:val="auto"/>
          <w:sz w:val="18"/>
          <w:szCs w:val="18"/>
          <w:lang w:val="es-CO"/>
        </w:rPr>
      </w:pPr>
      <w:r w:rsidRPr="003D0C82">
        <w:rPr>
          <w:rFonts w:ascii="Segoe UI" w:eastAsia="Times New Roman" w:hAnsi="Segoe UI" w:cs="Segoe UI"/>
          <w:color w:val="auto"/>
          <w:sz w:val="18"/>
          <w:szCs w:val="18"/>
          <w:lang w:val="es-CO"/>
        </w:rPr>
        <w:t> </w:t>
      </w:r>
    </w:p>
    <w:p w:rsidR="003D0C82" w:rsidRPr="003D0C82" w:rsidRDefault="003D0C82" w:rsidP="003D0C82">
      <w:pPr>
        <w:spacing w:line="240" w:lineRule="auto"/>
        <w:rPr>
          <w:rFonts w:ascii="Arial" w:eastAsia="Times New Roman" w:hAnsi="Arial"/>
          <w:color w:val="auto"/>
          <w:sz w:val="18"/>
          <w:szCs w:val="18"/>
          <w:lang w:val="es-CO"/>
        </w:rPr>
      </w:pPr>
      <w:r w:rsidRPr="003D0C82">
        <w:rPr>
          <w:rFonts w:ascii="Segoe UI" w:eastAsia="Times New Roman" w:hAnsi="Segoe UI" w:cs="Segoe UI"/>
          <w:color w:val="auto"/>
          <w:sz w:val="18"/>
          <w:szCs w:val="18"/>
          <w:lang w:val="es-CO"/>
        </w:rPr>
        <w:t>De conformidad con el artículo 20 del Decreto 4048 de 2008 es función de esta Subdirección absolver de modo general las consultas escritas que se formulen sobre interpretación y aplicación de las normas tributarias de carácter nacional, aduaneras y cambiarias en lo de competencia de esta entidad.</w:t>
      </w:r>
    </w:p>
    <w:p w:rsidR="003D0C82" w:rsidRPr="003D0C82" w:rsidRDefault="003D0C82" w:rsidP="003D0C82">
      <w:pPr>
        <w:spacing w:line="240" w:lineRule="auto"/>
        <w:rPr>
          <w:rFonts w:ascii="Arial" w:eastAsia="Times New Roman" w:hAnsi="Arial"/>
          <w:color w:val="auto"/>
          <w:sz w:val="18"/>
          <w:szCs w:val="18"/>
          <w:lang w:val="es-CO"/>
        </w:rPr>
      </w:pPr>
      <w:r w:rsidRPr="003D0C82">
        <w:rPr>
          <w:rFonts w:ascii="Segoe UI" w:eastAsia="Times New Roman" w:hAnsi="Segoe UI" w:cs="Segoe UI"/>
          <w:color w:val="auto"/>
          <w:sz w:val="18"/>
          <w:szCs w:val="18"/>
          <w:lang w:val="es-CO"/>
        </w:rPr>
        <w:t> </w:t>
      </w:r>
    </w:p>
    <w:p w:rsidR="003D0C82" w:rsidRPr="003D0C82" w:rsidRDefault="003D0C82" w:rsidP="003D0C82">
      <w:pPr>
        <w:spacing w:line="240" w:lineRule="auto"/>
        <w:rPr>
          <w:rFonts w:ascii="Arial" w:eastAsia="Times New Roman" w:hAnsi="Arial"/>
          <w:color w:val="auto"/>
          <w:sz w:val="18"/>
          <w:szCs w:val="18"/>
          <w:lang w:val="es-CO"/>
        </w:rPr>
      </w:pPr>
      <w:r w:rsidRPr="003D0C82">
        <w:rPr>
          <w:rFonts w:ascii="Segoe UI" w:eastAsia="Times New Roman" w:hAnsi="Segoe UI" w:cs="Segoe UI"/>
          <w:color w:val="auto"/>
          <w:sz w:val="18"/>
          <w:szCs w:val="18"/>
          <w:lang w:val="es-CO"/>
        </w:rPr>
        <w:t>En primer lugar, es necesario explicar que los conceptos que se emiten por este despacho tienen como fundamento las circunstancias presentadas en las consultas y buscan atender los supuestos de hecho y derecho expuestos en estas; por ello, se recomienda que la lectura del mismo se haga en forma integral para la comprensión de su alcance, el cual no debe extenderse a situaciones diferentes a las planteadas y estudiadas.</w:t>
      </w:r>
    </w:p>
    <w:p w:rsidR="003D0C82" w:rsidRPr="003D0C82" w:rsidRDefault="003D0C82" w:rsidP="003D0C82">
      <w:pPr>
        <w:spacing w:line="240" w:lineRule="auto"/>
        <w:rPr>
          <w:rFonts w:ascii="Arial" w:eastAsia="Times New Roman" w:hAnsi="Arial"/>
          <w:color w:val="auto"/>
          <w:sz w:val="18"/>
          <w:szCs w:val="18"/>
          <w:lang w:val="es-CO"/>
        </w:rPr>
      </w:pPr>
      <w:r w:rsidRPr="003D0C82">
        <w:rPr>
          <w:rFonts w:ascii="Segoe UI" w:eastAsia="Times New Roman" w:hAnsi="Segoe UI" w:cs="Segoe UI"/>
          <w:color w:val="auto"/>
          <w:sz w:val="18"/>
          <w:szCs w:val="18"/>
          <w:lang w:val="es-CO"/>
        </w:rPr>
        <w:t> </w:t>
      </w:r>
    </w:p>
    <w:p w:rsidR="003D0C82" w:rsidRPr="003D0C82" w:rsidRDefault="003D0C82" w:rsidP="003D0C82">
      <w:pPr>
        <w:spacing w:line="240" w:lineRule="auto"/>
        <w:rPr>
          <w:rFonts w:ascii="Arial" w:eastAsia="Times New Roman" w:hAnsi="Arial"/>
          <w:color w:val="auto"/>
          <w:sz w:val="18"/>
          <w:szCs w:val="18"/>
          <w:lang w:val="es-CO"/>
        </w:rPr>
      </w:pPr>
      <w:r w:rsidRPr="003D0C82">
        <w:rPr>
          <w:rFonts w:ascii="Segoe UI" w:eastAsia="Times New Roman" w:hAnsi="Segoe UI" w:cs="Segoe UI"/>
          <w:color w:val="auto"/>
          <w:sz w:val="18"/>
          <w:szCs w:val="18"/>
          <w:lang w:val="es-CO"/>
        </w:rPr>
        <w:t>En la petición allegada se solicita absolver el siguiente interrogante; De conformidad con la deducción prevista en el </w:t>
      </w:r>
      <w:hyperlink r:id="rId5" w:tooltip="Estatuto Tributario CETA" w:history="1">
        <w:r w:rsidRPr="003D0C82">
          <w:rPr>
            <w:rFonts w:ascii="Segoe UI" w:eastAsia="Times New Roman" w:hAnsi="Segoe UI" w:cs="Segoe UI"/>
            <w:color w:val="0089E1"/>
            <w:sz w:val="18"/>
            <w:szCs w:val="18"/>
            <w:u w:val="single"/>
            <w:lang w:val="es-CO"/>
          </w:rPr>
          <w:t>artículo 115-1</w:t>
        </w:r>
      </w:hyperlink>
      <w:r w:rsidRPr="003D0C82">
        <w:rPr>
          <w:rFonts w:ascii="Segoe UI" w:eastAsia="Times New Roman" w:hAnsi="Segoe UI" w:cs="Segoe UI"/>
          <w:color w:val="auto"/>
          <w:sz w:val="18"/>
          <w:szCs w:val="18"/>
          <w:lang w:val="es-CO"/>
        </w:rPr>
        <w:t> del Estatuto Tributario si se vende en una misma factura con IVA en un bien de capital que incluye los gastos de transporte e instalación, los cuales se tiene en cuenta para considerar el IVA en bienes de capital?</w:t>
      </w:r>
    </w:p>
    <w:p w:rsidR="003D0C82" w:rsidRPr="003D0C82" w:rsidRDefault="003D0C82" w:rsidP="003D0C82">
      <w:pPr>
        <w:spacing w:line="240" w:lineRule="auto"/>
        <w:rPr>
          <w:rFonts w:ascii="Arial" w:eastAsia="Times New Roman" w:hAnsi="Arial"/>
          <w:color w:val="auto"/>
          <w:sz w:val="18"/>
          <w:szCs w:val="18"/>
          <w:lang w:val="es-CO"/>
        </w:rPr>
      </w:pPr>
      <w:r w:rsidRPr="003D0C82">
        <w:rPr>
          <w:rFonts w:ascii="Segoe UI" w:eastAsia="Times New Roman" w:hAnsi="Segoe UI" w:cs="Segoe UI"/>
          <w:color w:val="auto"/>
          <w:sz w:val="18"/>
          <w:szCs w:val="18"/>
          <w:lang w:val="es-CO"/>
        </w:rPr>
        <w:t> </w:t>
      </w:r>
    </w:p>
    <w:p w:rsidR="003D0C82" w:rsidRPr="003D0C82" w:rsidRDefault="003D0C82" w:rsidP="003D0C82">
      <w:pPr>
        <w:spacing w:line="240" w:lineRule="auto"/>
        <w:rPr>
          <w:rFonts w:ascii="Arial" w:eastAsia="Times New Roman" w:hAnsi="Arial"/>
          <w:color w:val="auto"/>
          <w:sz w:val="18"/>
          <w:szCs w:val="18"/>
          <w:lang w:val="es-CO"/>
        </w:rPr>
      </w:pPr>
      <w:r w:rsidRPr="003D0C82">
        <w:rPr>
          <w:rFonts w:ascii="Segoe UI" w:eastAsia="Times New Roman" w:hAnsi="Segoe UI" w:cs="Segoe UI"/>
          <w:color w:val="auto"/>
          <w:sz w:val="18"/>
          <w:szCs w:val="18"/>
          <w:lang w:val="es-CO"/>
        </w:rPr>
        <w:t>Primero que todo es procedente transcribir las normas bases del Estatuto Tributario para resolver los interrogantes, así:</w:t>
      </w:r>
    </w:p>
    <w:p w:rsidR="003D0C82" w:rsidRPr="003D0C82" w:rsidRDefault="003D0C82" w:rsidP="003D0C82">
      <w:pPr>
        <w:spacing w:line="240" w:lineRule="auto"/>
        <w:ind w:left="180"/>
        <w:rPr>
          <w:rFonts w:ascii="Arial" w:eastAsia="Times New Roman" w:hAnsi="Arial"/>
          <w:color w:val="auto"/>
          <w:sz w:val="18"/>
          <w:szCs w:val="18"/>
          <w:lang w:val="es-CO"/>
        </w:rPr>
      </w:pPr>
      <w:r w:rsidRPr="003D0C82">
        <w:rPr>
          <w:rFonts w:ascii="Segoe UI" w:eastAsia="Times New Roman" w:hAnsi="Segoe UI" w:cs="Segoe UI"/>
          <w:i/>
          <w:iCs/>
          <w:color w:val="auto"/>
          <w:sz w:val="18"/>
          <w:szCs w:val="18"/>
          <w:lang w:val="es-CO"/>
        </w:rPr>
        <w:t> </w:t>
      </w:r>
    </w:p>
    <w:p w:rsidR="003D0C82" w:rsidRPr="003D0C82" w:rsidRDefault="003D0C82" w:rsidP="003D0C82">
      <w:pPr>
        <w:spacing w:line="240" w:lineRule="auto"/>
        <w:ind w:left="180"/>
        <w:rPr>
          <w:rFonts w:ascii="Arial" w:eastAsia="Times New Roman" w:hAnsi="Arial"/>
          <w:color w:val="auto"/>
          <w:sz w:val="18"/>
          <w:szCs w:val="18"/>
          <w:lang w:val="es-CO"/>
        </w:rPr>
      </w:pPr>
      <w:r w:rsidRPr="003D0C82">
        <w:rPr>
          <w:rFonts w:ascii="Segoe UI" w:eastAsia="Times New Roman" w:hAnsi="Segoe UI" w:cs="Segoe UI"/>
          <w:b/>
          <w:bCs/>
          <w:i/>
          <w:iCs/>
          <w:color w:val="auto"/>
          <w:sz w:val="18"/>
          <w:szCs w:val="18"/>
          <w:lang w:val="es-CO"/>
        </w:rPr>
        <w:t>“</w:t>
      </w:r>
      <w:hyperlink r:id="rId6" w:tooltip="Estatuto Tributario CETA" w:history="1">
        <w:r w:rsidRPr="003D0C82">
          <w:rPr>
            <w:rFonts w:ascii="Segoe UI" w:eastAsia="Times New Roman" w:hAnsi="Segoe UI" w:cs="Segoe UI"/>
            <w:b/>
            <w:bCs/>
            <w:i/>
            <w:iCs/>
            <w:color w:val="0089E1"/>
            <w:sz w:val="18"/>
            <w:szCs w:val="18"/>
            <w:u w:val="single"/>
            <w:lang w:val="es-CO"/>
          </w:rPr>
          <w:t>Artículo 115-2</w:t>
        </w:r>
      </w:hyperlink>
      <w:r w:rsidRPr="003D0C82">
        <w:rPr>
          <w:rFonts w:ascii="Segoe UI" w:eastAsia="Times New Roman" w:hAnsi="Segoe UI" w:cs="Segoe UI"/>
          <w:b/>
          <w:bCs/>
          <w:i/>
          <w:iCs/>
          <w:color w:val="auto"/>
          <w:sz w:val="18"/>
          <w:szCs w:val="18"/>
          <w:lang w:val="es-CO"/>
        </w:rPr>
        <w:t>. Deducción especial del impuesto sobre las ventas. (ART. ADICIONADO POR ART 67 DE LA LEY 1819 DE 2016). </w:t>
      </w:r>
      <w:r w:rsidRPr="003D0C82">
        <w:rPr>
          <w:rFonts w:ascii="Segoe UI" w:eastAsia="Times New Roman" w:hAnsi="Segoe UI" w:cs="Segoe UI"/>
          <w:i/>
          <w:iCs/>
          <w:color w:val="auto"/>
          <w:sz w:val="18"/>
          <w:szCs w:val="18"/>
          <w:lang w:val="es-CO"/>
        </w:rPr>
        <w:t>A partir del año gravable 2017 los contribuyentes tendrán derecho a deducir para el cálculo de su base gravable del impuesto sobre la renta el valor pagado por concepto del Impuesto sobre las Ventas por la adquisición o importación de bienes de capital gravados a la tarifa general.</w:t>
      </w:r>
    </w:p>
    <w:p w:rsidR="003D0C82" w:rsidRPr="003D0C82" w:rsidRDefault="003D0C82" w:rsidP="003D0C82">
      <w:pPr>
        <w:spacing w:line="240" w:lineRule="auto"/>
        <w:ind w:left="180"/>
        <w:rPr>
          <w:rFonts w:ascii="Arial" w:eastAsia="Times New Roman" w:hAnsi="Arial"/>
          <w:color w:val="auto"/>
          <w:sz w:val="18"/>
          <w:szCs w:val="18"/>
          <w:lang w:val="es-CO"/>
        </w:rPr>
      </w:pPr>
      <w:r w:rsidRPr="003D0C82">
        <w:rPr>
          <w:rFonts w:ascii="Segoe UI" w:eastAsia="Times New Roman" w:hAnsi="Segoe UI" w:cs="Segoe UI"/>
          <w:i/>
          <w:iCs/>
          <w:color w:val="auto"/>
          <w:sz w:val="18"/>
          <w:szCs w:val="18"/>
          <w:lang w:val="es-CO"/>
        </w:rPr>
        <w:t> </w:t>
      </w:r>
    </w:p>
    <w:p w:rsidR="003D0C82" w:rsidRPr="003D0C82" w:rsidRDefault="003D0C82" w:rsidP="003D0C82">
      <w:pPr>
        <w:spacing w:line="240" w:lineRule="auto"/>
        <w:ind w:left="180"/>
        <w:rPr>
          <w:rFonts w:ascii="Arial" w:eastAsia="Times New Roman" w:hAnsi="Arial"/>
          <w:color w:val="auto"/>
          <w:sz w:val="18"/>
          <w:szCs w:val="18"/>
          <w:lang w:val="es-CO"/>
        </w:rPr>
      </w:pPr>
      <w:r w:rsidRPr="003D0C82">
        <w:rPr>
          <w:rFonts w:ascii="Segoe UI" w:eastAsia="Times New Roman" w:hAnsi="Segoe UI" w:cs="Segoe UI"/>
          <w:i/>
          <w:iCs/>
          <w:color w:val="auto"/>
          <w:sz w:val="18"/>
          <w:szCs w:val="18"/>
          <w:lang w:val="es-CO"/>
        </w:rPr>
        <w:t>Esta deducción se solicitará en la declaración del impuesto sobre la renta del año gravable en que se importe o adquiera el bien de capital.</w:t>
      </w:r>
    </w:p>
    <w:p w:rsidR="003D0C82" w:rsidRPr="003D0C82" w:rsidRDefault="003D0C82" w:rsidP="003D0C82">
      <w:pPr>
        <w:spacing w:line="240" w:lineRule="auto"/>
        <w:ind w:left="180"/>
        <w:rPr>
          <w:rFonts w:ascii="Arial" w:eastAsia="Times New Roman" w:hAnsi="Arial"/>
          <w:color w:val="auto"/>
          <w:sz w:val="18"/>
          <w:szCs w:val="18"/>
          <w:lang w:val="es-CO"/>
        </w:rPr>
      </w:pPr>
      <w:r w:rsidRPr="003D0C82">
        <w:rPr>
          <w:rFonts w:ascii="Segoe UI" w:eastAsia="Times New Roman" w:hAnsi="Segoe UI" w:cs="Segoe UI"/>
          <w:b/>
          <w:bCs/>
          <w:i/>
          <w:iCs/>
          <w:color w:val="auto"/>
          <w:sz w:val="18"/>
          <w:szCs w:val="18"/>
          <w:lang w:val="es-CO"/>
        </w:rPr>
        <w:t> </w:t>
      </w:r>
    </w:p>
    <w:p w:rsidR="003D0C82" w:rsidRPr="003D0C82" w:rsidRDefault="003D0C82" w:rsidP="003D0C82">
      <w:pPr>
        <w:spacing w:line="240" w:lineRule="auto"/>
        <w:ind w:left="180"/>
        <w:rPr>
          <w:rFonts w:ascii="Arial" w:eastAsia="Times New Roman" w:hAnsi="Arial"/>
          <w:color w:val="auto"/>
          <w:sz w:val="18"/>
          <w:szCs w:val="18"/>
          <w:lang w:val="es-CO"/>
        </w:rPr>
      </w:pPr>
      <w:r w:rsidRPr="003D0C82">
        <w:rPr>
          <w:rFonts w:ascii="Segoe UI" w:eastAsia="Times New Roman" w:hAnsi="Segoe UI" w:cs="Segoe UI"/>
          <w:b/>
          <w:bCs/>
          <w:i/>
          <w:iCs/>
          <w:color w:val="auto"/>
          <w:sz w:val="18"/>
          <w:szCs w:val="18"/>
          <w:lang w:val="es-CO"/>
        </w:rPr>
        <w:t>PARÁGRAFO 1o. </w:t>
      </w:r>
      <w:r w:rsidRPr="003D0C82">
        <w:rPr>
          <w:rFonts w:ascii="Segoe UI" w:eastAsia="Times New Roman" w:hAnsi="Segoe UI" w:cs="Segoe UI"/>
          <w:i/>
          <w:iCs/>
          <w:color w:val="auto"/>
          <w:sz w:val="18"/>
          <w:szCs w:val="18"/>
          <w:lang w:val="es-CO"/>
        </w:rPr>
        <w:t>En ningún caso el beneficio previsto en este artículo puede ser utilizado en forma concurrente con el establecido en el </w:t>
      </w:r>
      <w:hyperlink r:id="rId7" w:tooltip="Estatuto Tributario CETA" w:history="1">
        <w:r w:rsidRPr="003D0C82">
          <w:rPr>
            <w:rFonts w:ascii="Segoe UI" w:eastAsia="Times New Roman" w:hAnsi="Segoe UI" w:cs="Segoe UI"/>
            <w:i/>
            <w:iCs/>
            <w:color w:val="0089E1"/>
            <w:sz w:val="18"/>
            <w:szCs w:val="18"/>
            <w:u w:val="single"/>
            <w:lang w:val="es-CO"/>
          </w:rPr>
          <w:t>artículo 258-2</w:t>
        </w:r>
      </w:hyperlink>
      <w:r w:rsidRPr="003D0C82">
        <w:rPr>
          <w:rFonts w:ascii="Segoe UI" w:eastAsia="Times New Roman" w:hAnsi="Segoe UI" w:cs="Segoe UI"/>
          <w:i/>
          <w:iCs/>
          <w:color w:val="auto"/>
          <w:sz w:val="18"/>
          <w:szCs w:val="18"/>
          <w:lang w:val="es-CO"/>
        </w:rPr>
        <w:t> del Estatuto Tributario.</w:t>
      </w:r>
    </w:p>
    <w:p w:rsidR="003D0C82" w:rsidRPr="003D0C82" w:rsidRDefault="003D0C82" w:rsidP="003D0C82">
      <w:pPr>
        <w:spacing w:line="240" w:lineRule="auto"/>
        <w:ind w:left="180"/>
        <w:rPr>
          <w:rFonts w:ascii="Arial" w:eastAsia="Times New Roman" w:hAnsi="Arial"/>
          <w:color w:val="auto"/>
          <w:sz w:val="18"/>
          <w:szCs w:val="18"/>
          <w:lang w:val="es-CO"/>
        </w:rPr>
      </w:pPr>
      <w:r w:rsidRPr="003D0C82">
        <w:rPr>
          <w:rFonts w:ascii="Segoe UI" w:eastAsia="Times New Roman" w:hAnsi="Segoe UI" w:cs="Segoe UI"/>
          <w:b/>
          <w:bCs/>
          <w:i/>
          <w:iCs/>
          <w:color w:val="auto"/>
          <w:sz w:val="18"/>
          <w:szCs w:val="18"/>
          <w:lang w:val="es-CO"/>
        </w:rPr>
        <w:t> </w:t>
      </w:r>
    </w:p>
    <w:p w:rsidR="003D0C82" w:rsidRPr="003D0C82" w:rsidRDefault="003D0C82" w:rsidP="003D0C82">
      <w:pPr>
        <w:spacing w:line="240" w:lineRule="auto"/>
        <w:ind w:left="180"/>
        <w:rPr>
          <w:rFonts w:ascii="Arial" w:eastAsia="Times New Roman" w:hAnsi="Arial"/>
          <w:color w:val="auto"/>
          <w:sz w:val="18"/>
          <w:szCs w:val="18"/>
          <w:lang w:val="es-CO"/>
        </w:rPr>
      </w:pPr>
      <w:r w:rsidRPr="003D0C82">
        <w:rPr>
          <w:rFonts w:ascii="Segoe UI" w:eastAsia="Times New Roman" w:hAnsi="Segoe UI" w:cs="Segoe UI"/>
          <w:b/>
          <w:bCs/>
          <w:i/>
          <w:iCs/>
          <w:color w:val="auto"/>
          <w:sz w:val="18"/>
          <w:szCs w:val="18"/>
          <w:lang w:val="es-CO"/>
        </w:rPr>
        <w:t>PARÁGRAFO 2o. </w:t>
      </w:r>
      <w:r w:rsidRPr="003D0C82">
        <w:rPr>
          <w:rFonts w:ascii="Segoe UI" w:eastAsia="Times New Roman" w:hAnsi="Segoe UI" w:cs="Segoe UI"/>
          <w:i/>
          <w:iCs/>
          <w:color w:val="auto"/>
          <w:sz w:val="18"/>
          <w:szCs w:val="18"/>
          <w:lang w:val="es-CO"/>
        </w:rPr>
        <w:t>Los beneficios aquí previstos serán aplicables cuando los bienes sean adquiridos a través de la modalidad de leasing financiero y la opción de compra será ejercida al final del contrato. En caso contrario, el arrendatario estará obligado al momento en que decida no ejercer la opción de compra a reconocer el descuento tomado como mayor impuesto a pagar y la deducción tomada como renta líquida por recuperación de deducciones.</w:t>
      </w:r>
    </w:p>
    <w:p w:rsidR="003D0C82" w:rsidRPr="003D0C82" w:rsidRDefault="003D0C82" w:rsidP="003D0C82">
      <w:pPr>
        <w:spacing w:line="240" w:lineRule="auto"/>
        <w:ind w:left="180"/>
        <w:rPr>
          <w:rFonts w:ascii="Arial" w:eastAsia="Times New Roman" w:hAnsi="Arial"/>
          <w:color w:val="auto"/>
          <w:sz w:val="18"/>
          <w:szCs w:val="18"/>
          <w:lang w:val="es-CO"/>
        </w:rPr>
      </w:pPr>
      <w:r w:rsidRPr="003D0C82">
        <w:rPr>
          <w:rFonts w:ascii="Segoe UI" w:eastAsia="Times New Roman" w:hAnsi="Segoe UI" w:cs="Segoe UI"/>
          <w:b/>
          <w:bCs/>
          <w:i/>
          <w:iCs/>
          <w:color w:val="auto"/>
          <w:sz w:val="18"/>
          <w:szCs w:val="18"/>
          <w:lang w:val="es-CO"/>
        </w:rPr>
        <w:t> </w:t>
      </w:r>
    </w:p>
    <w:p w:rsidR="003D0C82" w:rsidRPr="003D0C82" w:rsidRDefault="003D0C82" w:rsidP="003D0C82">
      <w:pPr>
        <w:spacing w:line="240" w:lineRule="auto"/>
        <w:ind w:left="180"/>
        <w:rPr>
          <w:rFonts w:ascii="Arial" w:eastAsia="Times New Roman" w:hAnsi="Arial"/>
          <w:color w:val="auto"/>
          <w:sz w:val="18"/>
          <w:szCs w:val="18"/>
          <w:lang w:val="es-CO"/>
        </w:rPr>
      </w:pPr>
      <w:r w:rsidRPr="003D0C82">
        <w:rPr>
          <w:rFonts w:ascii="Segoe UI" w:eastAsia="Times New Roman" w:hAnsi="Segoe UI" w:cs="Segoe UI"/>
          <w:b/>
          <w:bCs/>
          <w:i/>
          <w:iCs/>
          <w:color w:val="auto"/>
          <w:sz w:val="18"/>
          <w:szCs w:val="18"/>
          <w:lang w:val="es-CO"/>
        </w:rPr>
        <w:t>PARÁGRAFO 3o. </w:t>
      </w:r>
      <w:r w:rsidRPr="003D0C82">
        <w:rPr>
          <w:rFonts w:ascii="Segoe UI" w:eastAsia="Times New Roman" w:hAnsi="Segoe UI" w:cs="Segoe UI"/>
          <w:i/>
          <w:iCs/>
          <w:color w:val="auto"/>
          <w:sz w:val="18"/>
          <w:szCs w:val="18"/>
          <w:lang w:val="es-CO"/>
        </w:rPr>
        <w:t>Se entiende como bienes de capital para efectos del presente inciso, aquellos bienes tangibles depreciables que no se enajenen en el giro ordinario del negocio, utilizados para la producción de bienes o servicios y que a diferencia de las materias primas e insumos no se incorporan a los bienes finales producidos ni se transforman en el proceso productivo, excepto por el desgaste propio de su utilización. En esta medida, entre otros, se consideran bienes de capital la maquinaria y equipo, los equipos de informática, de comunicaciones y de transporte, cargue y descargue; adquiridos para la producción industrial y agropecuaria y para la prestación de servicios, maquinaria y equipos usados para explotación y operación de juegos de suerte y azar.”</w:t>
      </w:r>
    </w:p>
    <w:p w:rsidR="003D0C82" w:rsidRPr="003D0C82" w:rsidRDefault="003D0C82" w:rsidP="003D0C82">
      <w:pPr>
        <w:spacing w:line="240" w:lineRule="auto"/>
        <w:ind w:left="180"/>
        <w:rPr>
          <w:rFonts w:ascii="Arial" w:eastAsia="Times New Roman" w:hAnsi="Arial"/>
          <w:color w:val="auto"/>
          <w:sz w:val="18"/>
          <w:szCs w:val="18"/>
          <w:lang w:val="es-CO"/>
        </w:rPr>
      </w:pPr>
      <w:r w:rsidRPr="003D0C82">
        <w:rPr>
          <w:rFonts w:ascii="Segoe UI" w:eastAsia="Times New Roman" w:hAnsi="Segoe UI" w:cs="Segoe UI"/>
          <w:color w:val="auto"/>
          <w:sz w:val="18"/>
          <w:szCs w:val="18"/>
          <w:lang w:val="es-CO"/>
        </w:rPr>
        <w:t>Texto (Sic)</w:t>
      </w:r>
    </w:p>
    <w:p w:rsidR="003D0C82" w:rsidRPr="003D0C82" w:rsidRDefault="003D0C82" w:rsidP="003D0C82">
      <w:pPr>
        <w:spacing w:line="240" w:lineRule="auto"/>
        <w:ind w:left="180"/>
        <w:rPr>
          <w:rFonts w:ascii="Arial" w:eastAsia="Times New Roman" w:hAnsi="Arial"/>
          <w:color w:val="auto"/>
          <w:sz w:val="18"/>
          <w:szCs w:val="18"/>
          <w:lang w:val="es-CO"/>
        </w:rPr>
      </w:pPr>
      <w:r w:rsidRPr="003D0C82">
        <w:rPr>
          <w:rFonts w:ascii="Segoe UI" w:eastAsia="Times New Roman" w:hAnsi="Segoe UI" w:cs="Segoe UI"/>
          <w:b/>
          <w:bCs/>
          <w:i/>
          <w:iCs/>
          <w:color w:val="auto"/>
          <w:sz w:val="18"/>
          <w:szCs w:val="18"/>
          <w:lang w:val="es-CO"/>
        </w:rPr>
        <w:t>“</w:t>
      </w:r>
      <w:hyperlink r:id="rId8" w:tooltip="Estatuto Tributario CETA" w:history="1">
        <w:r w:rsidRPr="003D0C82">
          <w:rPr>
            <w:rFonts w:ascii="Segoe UI" w:eastAsia="Times New Roman" w:hAnsi="Segoe UI" w:cs="Segoe UI"/>
            <w:b/>
            <w:bCs/>
            <w:i/>
            <w:iCs/>
            <w:color w:val="0089E1"/>
            <w:sz w:val="18"/>
            <w:szCs w:val="18"/>
            <w:u w:val="single"/>
            <w:lang w:val="es-CO"/>
          </w:rPr>
          <w:t>ARTÍCULO 447</w:t>
        </w:r>
      </w:hyperlink>
      <w:r w:rsidRPr="003D0C82">
        <w:rPr>
          <w:rFonts w:ascii="Segoe UI" w:eastAsia="Times New Roman" w:hAnsi="Segoe UI" w:cs="Segoe UI"/>
          <w:b/>
          <w:bCs/>
          <w:i/>
          <w:iCs/>
          <w:color w:val="auto"/>
          <w:sz w:val="18"/>
          <w:szCs w:val="18"/>
          <w:lang w:val="es-CO"/>
        </w:rPr>
        <w:t>. EN LA VENTA Y PRESTACIÓN DE SERVICIOS, REGLA GENERAL </w:t>
      </w:r>
      <w:r w:rsidRPr="003D0C82">
        <w:rPr>
          <w:rFonts w:ascii="Segoe UI" w:eastAsia="Times New Roman" w:hAnsi="Segoe UI" w:cs="Segoe UI"/>
          <w:i/>
          <w:iCs/>
          <w:color w:val="auto"/>
          <w:sz w:val="18"/>
          <w:szCs w:val="18"/>
          <w:lang w:val="es-CO"/>
        </w:rPr>
        <w:t xml:space="preserve">En la venta y prestación de servicios, la base gravable será el valor total de la operación, sea que ésta se realice de contado o a crédito, incluyendo entre otros los gastos directos de financiación ordinaria, extraordinaria, o moratoria, accesorios, </w:t>
      </w:r>
      <w:r w:rsidRPr="003D0C82">
        <w:rPr>
          <w:rFonts w:ascii="Segoe UI" w:eastAsia="Times New Roman" w:hAnsi="Segoe UI" w:cs="Segoe UI"/>
          <w:i/>
          <w:iCs/>
          <w:color w:val="auto"/>
          <w:sz w:val="18"/>
          <w:szCs w:val="18"/>
          <w:lang w:val="es-CO"/>
        </w:rPr>
        <w:lastRenderedPageBreak/>
        <w:t>acarreos, instalaciones, seguros, comisiones, garantías y demás erogaciones complementarias, aunque se facturen o convengan por separado y aunque, considerados independientemente, no se encuentren sometidos a imposición.</w:t>
      </w:r>
    </w:p>
    <w:p w:rsidR="003D0C82" w:rsidRPr="003D0C82" w:rsidRDefault="003D0C82" w:rsidP="003D0C82">
      <w:pPr>
        <w:spacing w:line="240" w:lineRule="auto"/>
        <w:ind w:left="180"/>
        <w:rPr>
          <w:rFonts w:ascii="Arial" w:eastAsia="Times New Roman" w:hAnsi="Arial"/>
          <w:color w:val="auto"/>
          <w:sz w:val="18"/>
          <w:szCs w:val="18"/>
          <w:lang w:val="es-CO"/>
        </w:rPr>
      </w:pPr>
      <w:r w:rsidRPr="003D0C82">
        <w:rPr>
          <w:rFonts w:ascii="Segoe UI" w:eastAsia="Times New Roman" w:hAnsi="Segoe UI" w:cs="Segoe UI"/>
          <w:b/>
          <w:bCs/>
          <w:i/>
          <w:iCs/>
          <w:color w:val="auto"/>
          <w:sz w:val="18"/>
          <w:szCs w:val="18"/>
          <w:lang w:val="es-CO"/>
        </w:rPr>
        <w:t> </w:t>
      </w:r>
    </w:p>
    <w:p w:rsidR="003D0C82" w:rsidRPr="003D0C82" w:rsidRDefault="003D0C82" w:rsidP="003D0C82">
      <w:pPr>
        <w:spacing w:line="240" w:lineRule="auto"/>
        <w:ind w:left="180"/>
        <w:rPr>
          <w:rFonts w:ascii="Arial" w:eastAsia="Times New Roman" w:hAnsi="Arial"/>
          <w:color w:val="auto"/>
          <w:sz w:val="18"/>
          <w:szCs w:val="18"/>
          <w:lang w:val="es-CO"/>
        </w:rPr>
      </w:pPr>
      <w:r w:rsidRPr="003D0C82">
        <w:rPr>
          <w:rFonts w:ascii="Segoe UI" w:eastAsia="Times New Roman" w:hAnsi="Segoe UI" w:cs="Segoe UI"/>
          <w:b/>
          <w:bCs/>
          <w:i/>
          <w:iCs/>
          <w:color w:val="auto"/>
          <w:sz w:val="18"/>
          <w:szCs w:val="18"/>
          <w:lang w:val="es-CO"/>
        </w:rPr>
        <w:t>PARÁGRAFO. </w:t>
      </w:r>
      <w:r w:rsidRPr="003D0C82">
        <w:rPr>
          <w:rFonts w:ascii="Segoe UI" w:eastAsia="Times New Roman" w:hAnsi="Segoe UI" w:cs="Segoe UI"/>
          <w:i/>
          <w:iCs/>
          <w:color w:val="auto"/>
          <w:sz w:val="18"/>
          <w:szCs w:val="18"/>
          <w:lang w:val="es-CO"/>
        </w:rPr>
        <w:t xml:space="preserve">&lt;Parágrafo adicionado por el artículo 34 de la Ley 49 de 1990. El nuevo texto es el siguiente&gt;: Sin perjuicio de la </w:t>
      </w:r>
      <w:proofErr w:type="spellStart"/>
      <w:r w:rsidRPr="003D0C82">
        <w:rPr>
          <w:rFonts w:ascii="Segoe UI" w:eastAsia="Times New Roman" w:hAnsi="Segoe UI" w:cs="Segoe UI"/>
          <w:i/>
          <w:iCs/>
          <w:color w:val="auto"/>
          <w:sz w:val="18"/>
          <w:szCs w:val="18"/>
          <w:lang w:val="es-CO"/>
        </w:rPr>
        <w:t>causación</w:t>
      </w:r>
      <w:proofErr w:type="spellEnd"/>
      <w:r w:rsidRPr="003D0C82">
        <w:rPr>
          <w:rFonts w:ascii="Segoe UI" w:eastAsia="Times New Roman" w:hAnsi="Segoe UI" w:cs="Segoe UI"/>
          <w:i/>
          <w:iCs/>
          <w:color w:val="auto"/>
          <w:sz w:val="18"/>
          <w:szCs w:val="18"/>
          <w:lang w:val="es-CO"/>
        </w:rPr>
        <w:t xml:space="preserve"> del impuesto sobre las ventas, cuando los responsables del mismo financien a sus adquirentes o usuarios el pago del impuesto generado por la venta o prestación del servicio, los intereses por la financiación de este impuesto, no forman parte de la base gravable”</w:t>
      </w:r>
    </w:p>
    <w:p w:rsidR="003D0C82" w:rsidRPr="003D0C82" w:rsidRDefault="003D0C82" w:rsidP="003D0C82">
      <w:pPr>
        <w:spacing w:line="240" w:lineRule="auto"/>
        <w:rPr>
          <w:rFonts w:ascii="Arial" w:eastAsia="Times New Roman" w:hAnsi="Arial"/>
          <w:color w:val="auto"/>
          <w:sz w:val="18"/>
          <w:szCs w:val="18"/>
          <w:lang w:val="es-CO"/>
        </w:rPr>
      </w:pPr>
      <w:r w:rsidRPr="003D0C82">
        <w:rPr>
          <w:rFonts w:ascii="Segoe UI" w:eastAsia="Times New Roman" w:hAnsi="Segoe UI" w:cs="Segoe UI"/>
          <w:color w:val="auto"/>
          <w:sz w:val="18"/>
          <w:szCs w:val="18"/>
          <w:lang w:val="es-CO"/>
        </w:rPr>
        <w:t> </w:t>
      </w:r>
    </w:p>
    <w:p w:rsidR="00147980" w:rsidRPr="003D0C82" w:rsidRDefault="003D0C82" w:rsidP="003D0C82">
      <w:pPr>
        <w:rPr>
          <w:lang w:val="es-CO"/>
        </w:rPr>
      </w:pPr>
      <w:r w:rsidRPr="003D0C82">
        <w:rPr>
          <w:rFonts w:ascii="Segoe UI" w:eastAsia="Times New Roman" w:hAnsi="Segoe UI" w:cs="Segoe UI"/>
          <w:color w:val="auto"/>
          <w:sz w:val="18"/>
          <w:szCs w:val="18"/>
          <w:lang w:val="es-CO"/>
        </w:rPr>
        <w:t>Teniendo en consideración las anteriores disposiciones, el </w:t>
      </w:r>
      <w:hyperlink r:id="rId9" w:tooltip="Estatuto Tributario CETA" w:history="1">
        <w:r w:rsidRPr="003D0C82">
          <w:rPr>
            <w:rFonts w:ascii="Segoe UI" w:eastAsia="Times New Roman" w:hAnsi="Segoe UI" w:cs="Segoe UI"/>
            <w:color w:val="0089E1"/>
            <w:sz w:val="18"/>
            <w:szCs w:val="18"/>
            <w:u w:val="single"/>
            <w:lang w:val="es-CO"/>
          </w:rPr>
          <w:t>artículo 115-1</w:t>
        </w:r>
      </w:hyperlink>
      <w:r w:rsidRPr="003D0C82">
        <w:rPr>
          <w:rFonts w:ascii="Segoe UI" w:eastAsia="Times New Roman" w:hAnsi="Segoe UI" w:cs="Segoe UI"/>
          <w:color w:val="auto"/>
          <w:sz w:val="18"/>
          <w:szCs w:val="18"/>
          <w:lang w:val="es-CO"/>
        </w:rPr>
        <w:t> del ET. permite deducir el valor del IVA total de la transacción de la compra soportada en la factura la cual incluye el IVA generado en la transacción, tomando como base gravable lo señalado en el </w:t>
      </w:r>
      <w:hyperlink r:id="rId10" w:tooltip="Estatuto Tributario CETA" w:history="1">
        <w:r w:rsidRPr="003D0C82">
          <w:rPr>
            <w:rFonts w:ascii="Segoe UI" w:eastAsia="Times New Roman" w:hAnsi="Segoe UI" w:cs="Segoe UI"/>
            <w:color w:val="0089E1"/>
            <w:sz w:val="18"/>
            <w:szCs w:val="18"/>
            <w:u w:val="single"/>
            <w:lang w:val="es-CO"/>
          </w:rPr>
          <w:t>artículo 447</w:t>
        </w:r>
      </w:hyperlink>
      <w:r w:rsidRPr="003D0C82">
        <w:rPr>
          <w:rFonts w:ascii="Segoe UI" w:eastAsia="Times New Roman" w:hAnsi="Segoe UI" w:cs="Segoe UI"/>
          <w:color w:val="auto"/>
          <w:sz w:val="18"/>
          <w:szCs w:val="18"/>
          <w:lang w:val="es-CO"/>
        </w:rPr>
        <w:t> ibídem, incluyendo los gastos de los servicios de acarreo e instalación del bien de capital adquirido</w:t>
      </w:r>
    </w:p>
    <w:sectPr w:rsidR="00147980" w:rsidRPr="003D0C82" w:rsidSect="00B66046">
      <w:pgSz w:w="12191" w:h="1871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C82"/>
    <w:rsid w:val="00147980"/>
    <w:rsid w:val="003D0C82"/>
    <w:rsid w:val="00B66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7A4DDE-DF48-4B4C-B70F-8CF4FBB49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Arial"/>
        <w:color w:val="222222"/>
        <w:sz w:val="24"/>
        <w:szCs w:val="22"/>
        <w:lang w:val="en-US"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3D0C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602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562" TargetMode="External"/><Relationship Id="rId3" Type="http://schemas.openxmlformats.org/officeDocument/2006/relationships/webSettings" Target="webSettings.xml"/><Relationship Id="rId7" Type="http://schemas.openxmlformats.org/officeDocument/2006/relationships/hyperlink" Target="https://www.ceta.org.co/html/vista_de_un_articulo.asp?Norma=333"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eta.org.co/html/vista_de_un_articulo.asp?Norma=42482" TargetMode="External"/><Relationship Id="rId11" Type="http://schemas.openxmlformats.org/officeDocument/2006/relationships/fontTable" Target="fontTable.xml"/><Relationship Id="rId5" Type="http://schemas.openxmlformats.org/officeDocument/2006/relationships/hyperlink" Target="https://www.ceta.org.co/html/vista_de_un_articulo.asp?Norma=166" TargetMode="External"/><Relationship Id="rId10" Type="http://schemas.openxmlformats.org/officeDocument/2006/relationships/hyperlink" Target="https://www.ceta.org.co/html/vista_de_un_articulo.asp?Norma=562" TargetMode="External"/><Relationship Id="rId4" Type="http://schemas.openxmlformats.org/officeDocument/2006/relationships/hyperlink" Target="mailto:fabherguibar@gmail.com" TargetMode="External"/><Relationship Id="rId9" Type="http://schemas.openxmlformats.org/officeDocument/2006/relationships/hyperlink" Target="https://www.ceta.org.co/html/vista_de_un_articulo.asp?Norma=166"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812</Words>
  <Characters>4633</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2018-05-25T02:47:00Z</dcterms:created>
  <dcterms:modified xsi:type="dcterms:W3CDTF">2018-05-25T02:48:00Z</dcterms:modified>
</cp:coreProperties>
</file>