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9F" w:rsidRPr="0090099F" w:rsidRDefault="0090099F" w:rsidP="0090099F">
      <w:pPr>
        <w:spacing w:line="240" w:lineRule="auto"/>
        <w:jc w:val="center"/>
        <w:rPr>
          <w:rFonts w:eastAsia="Times New Roman" w:cs="Times New Roman"/>
          <w:color w:val="auto"/>
          <w:szCs w:val="24"/>
          <w:lang w:val="es-CO"/>
        </w:rPr>
      </w:pPr>
      <w:r w:rsidRPr="0090099F">
        <w:rPr>
          <w:rFonts w:ascii="Segoe UI" w:eastAsia="Times New Roman" w:hAnsi="Segoe UI" w:cs="Segoe UI"/>
          <w:b/>
          <w:color w:val="0000FF"/>
          <w:sz w:val="28"/>
          <w:szCs w:val="20"/>
          <w:lang w:val="es-CO"/>
        </w:rPr>
        <w:t>OFICIO Nº 000101</w:t>
      </w:r>
    </w:p>
    <w:p w:rsidR="0090099F" w:rsidRPr="0090099F" w:rsidRDefault="0090099F" w:rsidP="0090099F">
      <w:pPr>
        <w:spacing w:line="240" w:lineRule="auto"/>
        <w:jc w:val="center"/>
        <w:rPr>
          <w:rFonts w:eastAsia="Times New Roman" w:cs="Times New Roman"/>
          <w:color w:val="auto"/>
          <w:szCs w:val="24"/>
          <w:lang w:val="es-CO"/>
        </w:rPr>
      </w:pPr>
      <w:r w:rsidRPr="0090099F">
        <w:rPr>
          <w:rFonts w:ascii="Segoe UI" w:eastAsia="Times New Roman" w:hAnsi="Segoe UI" w:cs="Segoe UI"/>
          <w:b/>
          <w:color w:val="0000FF"/>
          <w:sz w:val="28"/>
          <w:szCs w:val="20"/>
          <w:lang w:val="es-CO"/>
        </w:rPr>
        <w:t>12-02-2018</w:t>
      </w:r>
    </w:p>
    <w:p w:rsidR="0090099F" w:rsidRPr="0090099F" w:rsidRDefault="0090099F" w:rsidP="0090099F">
      <w:pPr>
        <w:spacing w:line="240" w:lineRule="auto"/>
        <w:jc w:val="center"/>
        <w:rPr>
          <w:rFonts w:eastAsia="Times New Roman" w:cs="Times New Roman"/>
          <w:color w:val="auto"/>
          <w:szCs w:val="24"/>
          <w:lang w:val="es-CO"/>
        </w:rPr>
      </w:pPr>
      <w:r w:rsidRPr="0090099F">
        <w:rPr>
          <w:rFonts w:ascii="Segoe UI" w:eastAsia="Times New Roman" w:hAnsi="Segoe UI" w:cs="Segoe UI"/>
          <w:b/>
          <w:color w:val="0000FF"/>
          <w:sz w:val="28"/>
          <w:szCs w:val="20"/>
          <w:lang w:val="es-CO"/>
        </w:rPr>
        <w:t>DIAN</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b/>
          <w:color w:val="0000FF"/>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b/>
          <w:color w:val="0000FF"/>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Subdirección de Gestión Normativa y Doctrina</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Bogotá, D.C.</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100208221- 000101</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Señor</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b/>
          <w:color w:val="auto"/>
          <w:szCs w:val="20"/>
          <w:lang w:val="es-CO"/>
        </w:rPr>
        <w:t>JORGE ALBERTO BRAVO RUBIANO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jabrubiano@gmail.com</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proofErr w:type="spellStart"/>
      <w:r w:rsidRPr="0090099F">
        <w:rPr>
          <w:rFonts w:ascii="Segoe UI" w:eastAsia="Times New Roman" w:hAnsi="Segoe UI" w:cs="Segoe UI"/>
          <w:b/>
          <w:color w:val="auto"/>
          <w:szCs w:val="20"/>
          <w:lang w:val="es-CO"/>
        </w:rPr>
        <w:t>Ref</w:t>
      </w:r>
      <w:proofErr w:type="spellEnd"/>
      <w:r w:rsidRPr="0090099F">
        <w:rPr>
          <w:rFonts w:ascii="Segoe UI" w:eastAsia="Times New Roman" w:hAnsi="Segoe UI" w:cs="Segoe UI"/>
          <w:b/>
          <w:color w:val="auto"/>
          <w:szCs w:val="20"/>
          <w:lang w:val="es-CO"/>
        </w:rPr>
        <w:t>:</w:t>
      </w:r>
      <w:r w:rsidRPr="0090099F">
        <w:rPr>
          <w:rFonts w:ascii="Segoe UI" w:eastAsia="Times New Roman" w:hAnsi="Segoe UI" w:cs="Segoe UI"/>
          <w:color w:val="auto"/>
          <w:szCs w:val="20"/>
          <w:lang w:val="es-CO"/>
        </w:rPr>
        <w:t xml:space="preserve"> Radicado 100075280 del 17/11/2017</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Cordial saludo, Sr. Bravo.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xml:space="preserve">En la petición allegada vía correo electrónico usted solicita “… </w:t>
      </w:r>
      <w:r w:rsidRPr="0090099F">
        <w:rPr>
          <w:rFonts w:ascii="Segoe UI" w:eastAsia="Times New Roman" w:hAnsi="Segoe UI" w:cs="Segoe UI"/>
          <w:i/>
          <w:color w:val="auto"/>
          <w:szCs w:val="20"/>
          <w:lang w:val="es-CO"/>
        </w:rPr>
        <w:t xml:space="preserve">confirmar si en atención a la modificación por la Ley 1819 de 2016 de los artículos 55 y 126-1 del Estatuto Tributario y del parágrafo 1 del artículo 135 de la Ley 100 de 1993, los aportes voluntarios a pensiones obligatorias </w:t>
      </w:r>
      <w:r w:rsidRPr="0090099F">
        <w:rPr>
          <w:rFonts w:ascii="Segoe UI" w:eastAsia="Times New Roman" w:hAnsi="Segoe UI" w:cs="Segoe UI"/>
          <w:b/>
          <w:i/>
          <w:color w:val="auto"/>
          <w:szCs w:val="20"/>
          <w:lang w:val="es-CO"/>
        </w:rPr>
        <w:t xml:space="preserve">son considerados como un ingreso no constitutivo de renta ni ganancia ocasional”. </w:t>
      </w:r>
      <w:r w:rsidRPr="0090099F">
        <w:rPr>
          <w:rFonts w:ascii="Segoe UI" w:eastAsia="Times New Roman" w:hAnsi="Segoe UI" w:cs="Segoe UI"/>
          <w:color w:val="auto"/>
          <w:szCs w:val="20"/>
          <w:lang w:val="es-CO"/>
        </w:rPr>
        <w:t>(negrilla fuera de texto).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Frente a la inquietud planteada por el consultante, resulta pertinente precisar que los Conceptos No. 000976 (Radicado No. 13697) del 1 de junio de 2017 y No. 000193 (Radicado No. 4773) del 24 de febrero de 2017 versan sobre la retención en la fuente aplicable a empleados.</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Ahora bien, y como quiera que lo pretendido por el peticionario es un pronunciamiento de este despacho en relación con la naturaleza tributaria de los aportes voluntarios a pensiones, cabe citar lo señalado en el artículo 15 de la Ley 1819 de 2016, así:</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color w:val="auto"/>
          <w:szCs w:val="20"/>
          <w:lang w:val="es-CO"/>
        </w:rPr>
        <w:lastRenderedPageBreak/>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color w:val="auto"/>
          <w:szCs w:val="20"/>
          <w:lang w:val="es-CO"/>
        </w:rPr>
        <w:t>“</w:t>
      </w:r>
      <w:r w:rsidRPr="0090099F">
        <w:rPr>
          <w:rFonts w:ascii="Segoe UI" w:eastAsia="Times New Roman" w:hAnsi="Segoe UI" w:cs="Segoe UI"/>
          <w:b/>
          <w:i/>
          <w:color w:val="auto"/>
          <w:szCs w:val="20"/>
          <w:lang w:val="es-CO"/>
        </w:rPr>
        <w:t xml:space="preserve">ARTÍCULO 15. </w:t>
      </w:r>
      <w:r w:rsidRPr="0090099F">
        <w:rPr>
          <w:rFonts w:ascii="Segoe UI" w:eastAsia="Times New Roman" w:hAnsi="Segoe UI" w:cs="Segoe UI"/>
          <w:i/>
          <w:color w:val="auto"/>
          <w:szCs w:val="20"/>
          <w:lang w:val="es-CO"/>
        </w:rPr>
        <w:t>Modifíquese el artículo 126-1 del Estatuto Tributario, el cual quedará así:</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b/>
          <w:i/>
          <w:color w:val="auto"/>
          <w:szCs w:val="20"/>
          <w:lang w:val="es-CO"/>
        </w:rPr>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b/>
          <w:i/>
          <w:color w:val="auto"/>
          <w:szCs w:val="20"/>
          <w:lang w:val="es-CO"/>
        </w:rPr>
        <w:t>ARTÍCULO 126-1. DEDUCCIÓN DE CONTRIBUCIONES A FONDOS DE PENSIONES DE JUBILACIÓN E INVALIDEZ Y FONDOS DE CESANTÍAS.</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b/>
          <w:i/>
          <w:color w:val="auto"/>
          <w:szCs w:val="20"/>
          <w:u w:val="single"/>
          <w:lang w:val="es-CO"/>
        </w:rPr>
        <w:t>Los aportes voluntarios que haga el trabajador, el empleador</w:t>
      </w:r>
      <w:r w:rsidRPr="0090099F">
        <w:rPr>
          <w:rFonts w:ascii="Segoe UI" w:eastAsia="Times New Roman" w:hAnsi="Segoe UI" w:cs="Segoe UI"/>
          <w:b/>
          <w:i/>
          <w:color w:val="auto"/>
          <w:szCs w:val="20"/>
          <w:lang w:val="es-CO"/>
        </w:rPr>
        <w:t xml:space="preserve">, </w:t>
      </w:r>
      <w:r w:rsidRPr="0090099F">
        <w:rPr>
          <w:rFonts w:ascii="Segoe UI" w:eastAsia="Times New Roman" w:hAnsi="Segoe UI" w:cs="Segoe UI"/>
          <w:i/>
          <w:color w:val="auto"/>
          <w:szCs w:val="20"/>
          <w:lang w:val="es-CO"/>
        </w:rPr>
        <w:t xml:space="preserve">o los aportes del partícipe independiente a los seguros privados de pensiones, </w:t>
      </w:r>
      <w:r w:rsidRPr="0090099F">
        <w:rPr>
          <w:rFonts w:ascii="Segoe UI" w:eastAsia="Times New Roman" w:hAnsi="Segoe UI" w:cs="Segoe UI"/>
          <w:b/>
          <w:i/>
          <w:color w:val="auto"/>
          <w:szCs w:val="20"/>
          <w:u w:val="single"/>
          <w:lang w:val="es-CO"/>
        </w:rPr>
        <w:t>a los fondos de pensiones voluntarias y obligatorias</w:t>
      </w:r>
      <w:r w:rsidRPr="0090099F">
        <w:rPr>
          <w:rFonts w:ascii="Segoe UI" w:eastAsia="Times New Roman" w:hAnsi="Segoe UI" w:cs="Segoe UI"/>
          <w:b/>
          <w:i/>
          <w:color w:val="auto"/>
          <w:szCs w:val="20"/>
          <w:lang w:val="es-CO"/>
        </w:rPr>
        <w:t xml:space="preserve">, administrados por las entidades vigiladas por la Superintendencia Financiera de Colombia, no harán parte de la base para aplicar la retención en la fuente y </w:t>
      </w:r>
      <w:r w:rsidRPr="0090099F">
        <w:rPr>
          <w:rFonts w:ascii="Segoe UI" w:eastAsia="Times New Roman" w:hAnsi="Segoe UI" w:cs="Segoe UI"/>
          <w:b/>
          <w:i/>
          <w:color w:val="auto"/>
          <w:szCs w:val="20"/>
          <w:u w:val="single"/>
          <w:lang w:val="es-CO"/>
        </w:rPr>
        <w:t>serán considerados como una renta exenta</w:t>
      </w:r>
      <w:r w:rsidRPr="0090099F">
        <w:rPr>
          <w:rFonts w:ascii="Segoe UI" w:eastAsia="Times New Roman" w:hAnsi="Segoe UI" w:cs="Segoe UI"/>
          <w:b/>
          <w:i/>
          <w:color w:val="auto"/>
          <w:szCs w:val="20"/>
          <w:lang w:val="es-CO"/>
        </w:rPr>
        <w:t xml:space="preserve">, </w:t>
      </w:r>
      <w:r w:rsidRPr="0090099F">
        <w:rPr>
          <w:rFonts w:ascii="Segoe UI" w:eastAsia="Times New Roman" w:hAnsi="Segoe UI" w:cs="Segoe UI"/>
          <w:i/>
          <w:color w:val="auto"/>
          <w:szCs w:val="20"/>
          <w:lang w:val="es-CO"/>
        </w:rPr>
        <w:t>hasta una suma que adicionada al valor de los aportes a las Cuentas de Ahorro para el Fomento de la Construcción (AFC) de que trata el artículo 126-4 de este Estatuto, no exceda del treinta por ciento (30%) del ingreso laboral o ingreso tributario del año, según el caso, y hasta un monto máximo de tres mil ochocientas (3.800) UVT por año …” (subraya y negrilla fuera de texto).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xml:space="preserve">La norma antes citada de manera expresa estipula que </w:t>
      </w:r>
      <w:r w:rsidRPr="0090099F">
        <w:rPr>
          <w:rFonts w:ascii="Segoe UI" w:eastAsia="Times New Roman" w:hAnsi="Segoe UI" w:cs="Segoe UI"/>
          <w:b/>
          <w:color w:val="auto"/>
          <w:szCs w:val="20"/>
          <w:lang w:val="es-CO"/>
        </w:rPr>
        <w:t xml:space="preserve">los aportes voluntarios </w:t>
      </w:r>
      <w:r w:rsidRPr="0090099F">
        <w:rPr>
          <w:rFonts w:ascii="Segoe UI" w:eastAsia="Times New Roman" w:hAnsi="Segoe UI" w:cs="Segoe UI"/>
          <w:color w:val="auto"/>
          <w:szCs w:val="20"/>
          <w:lang w:val="es-CO"/>
        </w:rPr>
        <w:t xml:space="preserve">realizados a los fondos de pensiones voluntarias y obligatorias serán considerados como una </w:t>
      </w:r>
      <w:r w:rsidRPr="0090099F">
        <w:rPr>
          <w:rFonts w:ascii="Segoe UI" w:eastAsia="Times New Roman" w:hAnsi="Segoe UI" w:cs="Segoe UI"/>
          <w:b/>
          <w:color w:val="auto"/>
          <w:szCs w:val="20"/>
          <w:lang w:val="es-CO"/>
        </w:rPr>
        <w:t>renta exenta.</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xml:space="preserve">Así mismo, la Ley 1819 de 2016 señaló que los </w:t>
      </w:r>
      <w:r w:rsidRPr="0090099F">
        <w:rPr>
          <w:rFonts w:ascii="Segoe UI" w:eastAsia="Times New Roman" w:hAnsi="Segoe UI" w:cs="Segoe UI"/>
          <w:b/>
          <w:color w:val="auto"/>
          <w:szCs w:val="20"/>
          <w:lang w:val="es-CO"/>
        </w:rPr>
        <w:t xml:space="preserve">aportes obligatorios </w:t>
      </w:r>
      <w:r w:rsidRPr="0090099F">
        <w:rPr>
          <w:rFonts w:ascii="Segoe UI" w:eastAsia="Times New Roman" w:hAnsi="Segoe UI" w:cs="Segoe UI"/>
          <w:color w:val="auto"/>
          <w:szCs w:val="20"/>
          <w:lang w:val="es-CO"/>
        </w:rPr>
        <w:t xml:space="preserve">al Sistema General de Pensiones serán considerados como </w:t>
      </w:r>
      <w:r w:rsidRPr="0090099F">
        <w:rPr>
          <w:rFonts w:ascii="Segoe UI" w:eastAsia="Times New Roman" w:hAnsi="Segoe UI" w:cs="Segoe UI"/>
          <w:b/>
          <w:color w:val="auto"/>
          <w:szCs w:val="20"/>
          <w:lang w:val="es-CO"/>
        </w:rPr>
        <w:t xml:space="preserve">un ingreso no constitutivo de renta ni de ganancia ocasional, </w:t>
      </w:r>
      <w:r w:rsidRPr="0090099F">
        <w:rPr>
          <w:rFonts w:ascii="Segoe UI" w:eastAsia="Times New Roman" w:hAnsi="Segoe UI" w:cs="Segoe UI"/>
          <w:color w:val="auto"/>
          <w:szCs w:val="20"/>
          <w:lang w:val="es-CO"/>
        </w:rPr>
        <w:t>de conformidad con lo establecido en los artículos 12 y 13, así:</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“ARTÍCULO 12º. Modifíquese el parágrafo 1 del artículo 135 de la Ley 100 de 1993, el cual quedará así:</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xml:space="preserve">PARÁGRAFO 1º. </w:t>
      </w:r>
      <w:r w:rsidRPr="0090099F">
        <w:rPr>
          <w:rFonts w:ascii="Segoe UI" w:eastAsia="Times New Roman" w:hAnsi="Segoe UI" w:cs="Segoe UI"/>
          <w:b/>
          <w:i/>
          <w:color w:val="auto"/>
          <w:szCs w:val="20"/>
          <w:u w:val="single"/>
          <w:lang w:val="es-CO"/>
        </w:rPr>
        <w:t>Los aportes obligatorios que se efectúen al sistema general de pensiones</w:t>
      </w:r>
      <w:r w:rsidRPr="0090099F">
        <w:rPr>
          <w:rFonts w:ascii="Segoe UI" w:eastAsia="Times New Roman" w:hAnsi="Segoe UI" w:cs="Segoe UI"/>
          <w:b/>
          <w:i/>
          <w:color w:val="auto"/>
          <w:szCs w:val="20"/>
          <w:lang w:val="es-CO"/>
        </w:rPr>
        <w:t xml:space="preserve"> </w:t>
      </w:r>
      <w:r w:rsidRPr="0090099F">
        <w:rPr>
          <w:rFonts w:ascii="Segoe UI" w:eastAsia="Times New Roman" w:hAnsi="Segoe UI" w:cs="Segoe UI"/>
          <w:i/>
          <w:color w:val="auto"/>
          <w:szCs w:val="20"/>
          <w:lang w:val="es-CO"/>
        </w:rPr>
        <w:t xml:space="preserve">no harán parte de la base para aplicar la retención en la fuente por rentas de trabajo </w:t>
      </w:r>
      <w:r w:rsidRPr="0090099F">
        <w:rPr>
          <w:rFonts w:ascii="Segoe UI" w:eastAsia="Times New Roman" w:hAnsi="Segoe UI" w:cs="Segoe UI"/>
          <w:b/>
          <w:i/>
          <w:color w:val="auto"/>
          <w:szCs w:val="20"/>
          <w:lang w:val="es-CO"/>
        </w:rPr>
        <w:t xml:space="preserve">y </w:t>
      </w:r>
      <w:r w:rsidRPr="0090099F">
        <w:rPr>
          <w:rFonts w:ascii="Segoe UI" w:eastAsia="Times New Roman" w:hAnsi="Segoe UI" w:cs="Segoe UI"/>
          <w:b/>
          <w:i/>
          <w:color w:val="auto"/>
          <w:szCs w:val="20"/>
          <w:u w:val="single"/>
          <w:lang w:val="es-CO"/>
        </w:rPr>
        <w:t>serán considerados como un ingreso no constitutivo de renta ni de ganancia ocasional</w:t>
      </w:r>
      <w:r w:rsidRPr="0090099F">
        <w:rPr>
          <w:rFonts w:ascii="Segoe UI" w:eastAsia="Times New Roman" w:hAnsi="Segoe UI" w:cs="Segoe UI"/>
          <w:b/>
          <w:i/>
          <w:color w:val="auto"/>
          <w:szCs w:val="20"/>
          <w:lang w:val="es-CO"/>
        </w:rPr>
        <w:t xml:space="preserve">. </w:t>
      </w:r>
      <w:r w:rsidRPr="0090099F">
        <w:rPr>
          <w:rFonts w:ascii="Segoe UI" w:eastAsia="Times New Roman" w:hAnsi="Segoe UI" w:cs="Segoe UI"/>
          <w:i/>
          <w:color w:val="auto"/>
          <w:szCs w:val="20"/>
          <w:lang w:val="es-CO"/>
        </w:rPr>
        <w:t>Los aportes a cargo del empleador serán deducibles de su renta. Los aportes voluntarios se someten a lo previsto en el artículo 55 del Estatuto Tributario.</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ARTÍCULO 13º. Adiciónese el artículo 55 del Estatuto Tributario el cual quedará así:</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w:t>
      </w:r>
    </w:p>
    <w:p w:rsidR="0090099F" w:rsidRPr="0090099F" w:rsidRDefault="0090099F" w:rsidP="0090099F">
      <w:pPr>
        <w:spacing w:line="240" w:lineRule="auto"/>
        <w:ind w:left="420"/>
        <w:rPr>
          <w:rFonts w:eastAsia="Times New Roman" w:cs="Times New Roman"/>
          <w:color w:val="auto"/>
          <w:szCs w:val="24"/>
          <w:lang w:val="es-CO"/>
        </w:rPr>
      </w:pPr>
      <w:r w:rsidRPr="0090099F">
        <w:rPr>
          <w:rFonts w:ascii="Segoe UI" w:eastAsia="Times New Roman" w:hAnsi="Segoe UI" w:cs="Segoe UI"/>
          <w:i/>
          <w:color w:val="auto"/>
          <w:szCs w:val="20"/>
          <w:lang w:val="es-CO"/>
        </w:rPr>
        <w:t xml:space="preserve">ARTÍCULO 55. APORTES AL SISTEMA GENERAL DE PENSIONES. </w:t>
      </w:r>
      <w:r w:rsidRPr="0090099F">
        <w:rPr>
          <w:rFonts w:ascii="Segoe UI" w:eastAsia="Times New Roman" w:hAnsi="Segoe UI" w:cs="Segoe UI"/>
          <w:b/>
          <w:i/>
          <w:color w:val="auto"/>
          <w:szCs w:val="20"/>
          <w:lang w:val="es-CO"/>
        </w:rPr>
        <w:t xml:space="preserve">Los aportes obligatorios que efectúen los trabajadores, empleadores y afiliados al Sistema General de Seguridad Social en Pensiones </w:t>
      </w:r>
      <w:r w:rsidRPr="0090099F">
        <w:rPr>
          <w:rFonts w:ascii="Segoe UI" w:eastAsia="Times New Roman" w:hAnsi="Segoe UI" w:cs="Segoe UI"/>
          <w:i/>
          <w:color w:val="auto"/>
          <w:szCs w:val="20"/>
          <w:lang w:val="es-CO"/>
        </w:rPr>
        <w:t xml:space="preserve">no harán parte de la base para aplicar la retención en la fuente por rentas de trabajo </w:t>
      </w:r>
      <w:r w:rsidRPr="0090099F">
        <w:rPr>
          <w:rFonts w:ascii="Segoe UI" w:eastAsia="Times New Roman" w:hAnsi="Segoe UI" w:cs="Segoe UI"/>
          <w:b/>
          <w:i/>
          <w:color w:val="auto"/>
          <w:szCs w:val="20"/>
          <w:lang w:val="es-CO"/>
        </w:rPr>
        <w:t xml:space="preserve">y </w:t>
      </w:r>
      <w:r w:rsidRPr="0090099F">
        <w:rPr>
          <w:rFonts w:ascii="Segoe UI" w:eastAsia="Times New Roman" w:hAnsi="Segoe UI" w:cs="Segoe UI"/>
          <w:b/>
          <w:i/>
          <w:color w:val="auto"/>
          <w:szCs w:val="20"/>
          <w:u w:val="single"/>
          <w:lang w:val="es-CO"/>
        </w:rPr>
        <w:t>serán considerados como un ingreso no constitutivo ni de ganancia ocasional</w:t>
      </w:r>
      <w:r w:rsidRPr="0090099F">
        <w:rPr>
          <w:rFonts w:ascii="Segoe UI" w:eastAsia="Times New Roman" w:hAnsi="Segoe UI" w:cs="Segoe UI"/>
          <w:b/>
          <w:i/>
          <w:color w:val="auto"/>
          <w:szCs w:val="20"/>
          <w:lang w:val="es-CO"/>
        </w:rPr>
        <w:t xml:space="preserve">. </w:t>
      </w:r>
      <w:r w:rsidRPr="0090099F">
        <w:rPr>
          <w:rFonts w:ascii="Segoe UI" w:eastAsia="Times New Roman" w:hAnsi="Segoe UI" w:cs="Segoe UI"/>
          <w:i/>
          <w:color w:val="auto"/>
          <w:szCs w:val="20"/>
          <w:lang w:val="es-CO"/>
        </w:rPr>
        <w:t xml:space="preserve">Los retiros, parciales o totales, de las cotizaciones voluntarias de los afiliados al régimen de ahorro individual con solidaridad para fines distintos a la obtención de una mayor pensión o un retiro anticipado constituirán renta gravada en el año en que sean retirados. La respectiva sociedad administradora efectuará la retención en la </w:t>
      </w:r>
      <w:r w:rsidRPr="0090099F">
        <w:rPr>
          <w:rFonts w:ascii="Segoe UI" w:eastAsia="Times New Roman" w:hAnsi="Segoe UI" w:cs="Segoe UI"/>
          <w:i/>
          <w:color w:val="auto"/>
          <w:szCs w:val="20"/>
          <w:lang w:val="es-CO"/>
        </w:rPr>
        <w:lastRenderedPageBreak/>
        <w:t>fuente a la tarifa del 15% al momento del retiro.” (subraya y negrilla fuera de texto).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Así las cosas, para este despacho no hay lugar a hablar de un error de técnica legislativa, en tanto, el legislador de manera expresa diferenció la naturaleza de cada uno de los aportes, precisando que los aportes voluntarios a los fondos de pensiones son considerados renta exenta (art. 15 Ley 1819 de 2016) y los aportes obligatorios al Sistema General de Pensiones son ingreso no constitutivo de renta ni de ganancia ocasional.</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xml:space="preserve">Ello es así, además porque en el Sistema General de Pensiones Colombiano existen dos tipos de aportes, los aportes obligatorios que son los realizados por los trabadores y empleadores por los montos y porcentajes al Sistema de conformidad con la normatividad que regula la materia, y los aportes voluntarios que, como su nombre lo indica son un aporte adicional y </w:t>
      </w:r>
      <w:r w:rsidRPr="0090099F">
        <w:rPr>
          <w:rFonts w:ascii="Segoe UI" w:eastAsia="Times New Roman" w:hAnsi="Segoe UI" w:cs="Segoe UI"/>
          <w:b/>
          <w:color w:val="auto"/>
          <w:szCs w:val="20"/>
          <w:lang w:val="es-CO"/>
        </w:rPr>
        <w:t xml:space="preserve">voluntario </w:t>
      </w:r>
      <w:r w:rsidRPr="0090099F">
        <w:rPr>
          <w:rFonts w:ascii="Segoe UI" w:eastAsia="Times New Roman" w:hAnsi="Segoe UI" w:cs="Segoe UI"/>
          <w:color w:val="auto"/>
          <w:szCs w:val="20"/>
          <w:lang w:val="es-CO"/>
        </w:rPr>
        <w:t>que realizan el trabajador, el empleador o el participe independiente.</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Justamente, si bien es cierto que la legislación y la doctrina han establecido diversos criterios de interpretación de las disposiciones jurídicas a fin de desentrañar pasajes oscuros de las normas o de servir de instrumentos para atribuir determinado significado, éstos resultan útiles cuando es viable su utilización, situación que no se da en el presente caso habida cuenta que en los artículos arriba estudiados se debe atender el sentido natural y obvio de las palabras, y no las conclusiones finalistas expuestas por el consultante sobre los antecedentes de la norma.</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xml:space="preserve">Finalmente, es de precisar que mediante el Decreto 2250 de diciembre 29/2017, el tema sobre su particular quedo </w:t>
      </w:r>
      <w:proofErr w:type="spellStart"/>
      <w:r w:rsidRPr="0090099F">
        <w:rPr>
          <w:rFonts w:ascii="Segoe UI" w:eastAsia="Times New Roman" w:hAnsi="Segoe UI" w:cs="Segoe UI"/>
          <w:color w:val="auto"/>
          <w:szCs w:val="20"/>
          <w:lang w:val="es-CO"/>
        </w:rPr>
        <w:t>sanjado</w:t>
      </w:r>
      <w:proofErr w:type="spellEnd"/>
      <w:r w:rsidRPr="0090099F">
        <w:rPr>
          <w:rFonts w:ascii="Segoe UI" w:eastAsia="Times New Roman" w:hAnsi="Segoe UI" w:cs="Segoe UI"/>
          <w:color w:val="auto"/>
          <w:szCs w:val="20"/>
          <w:lang w:val="es-CO"/>
        </w:rPr>
        <w:t>, por tal motivo se le invita a consultar su contenido.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bookmarkStart w:id="0" w:name="_GoBack"/>
      <w:bookmarkEnd w:id="0"/>
      <w:r w:rsidRPr="0090099F">
        <w:rPr>
          <w:rFonts w:ascii="Segoe UI" w:eastAsia="Times New Roman" w:hAnsi="Segoe UI" w:cs="Segoe UI"/>
          <w:color w:val="auto"/>
          <w:szCs w:val="20"/>
          <w:lang w:val="es-CO"/>
        </w:rPr>
        <w:t>Atentamente,</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 </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b/>
          <w:color w:val="auto"/>
          <w:szCs w:val="20"/>
          <w:lang w:val="es-CO"/>
        </w:rPr>
        <w:t>PEDRO PABLO CONTRERAS CAMARGO</w:t>
      </w:r>
    </w:p>
    <w:p w:rsidR="0090099F" w:rsidRPr="0090099F" w:rsidRDefault="0090099F" w:rsidP="0090099F">
      <w:pPr>
        <w:spacing w:line="240" w:lineRule="auto"/>
        <w:rPr>
          <w:rFonts w:eastAsia="Times New Roman" w:cs="Times New Roman"/>
          <w:color w:val="auto"/>
          <w:szCs w:val="24"/>
          <w:lang w:val="es-CO"/>
        </w:rPr>
      </w:pPr>
      <w:r w:rsidRPr="0090099F">
        <w:rPr>
          <w:rFonts w:ascii="Segoe UI" w:eastAsia="Times New Roman" w:hAnsi="Segoe UI" w:cs="Segoe UI"/>
          <w:color w:val="auto"/>
          <w:szCs w:val="20"/>
          <w:lang w:val="es-CO"/>
        </w:rPr>
        <w:t>Subdirector de Gestión Normativa y Doctrina</w:t>
      </w:r>
    </w:p>
    <w:p w:rsidR="00147980" w:rsidRPr="0090099F" w:rsidRDefault="00147980">
      <w:pPr>
        <w:rPr>
          <w:lang w:val="es-CO"/>
        </w:rPr>
      </w:pPr>
    </w:p>
    <w:sectPr w:rsidR="00147980" w:rsidRPr="0090099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9F"/>
    <w:rsid w:val="00147980"/>
    <w:rsid w:val="0090099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553-4768-4826-9777-754A863E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37470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2018-05-30T18:17:00Z</dcterms:created>
  <dcterms:modified xsi:type="dcterms:W3CDTF">2018-05-30T18:19:00Z</dcterms:modified>
</cp:coreProperties>
</file>