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7F" w:rsidRPr="008A007F" w:rsidRDefault="008A007F" w:rsidP="008A007F">
      <w:pPr>
        <w:spacing w:line="240" w:lineRule="auto"/>
        <w:jc w:val="center"/>
        <w:rPr>
          <w:rFonts w:eastAsia="Times New Roman" w:cs="Times New Roman"/>
          <w:color w:val="auto"/>
          <w:szCs w:val="24"/>
          <w:lang w:val="es-CO"/>
        </w:rPr>
      </w:pPr>
      <w:r w:rsidRPr="008A007F">
        <w:rPr>
          <w:rFonts w:eastAsia="Times New Roman" w:cs="Times New Roman"/>
          <w:b/>
          <w:color w:val="auto"/>
          <w:szCs w:val="24"/>
          <w:lang w:val="es-CO"/>
        </w:rPr>
        <w:t>OFICIO Nº 000031</w:t>
      </w:r>
    </w:p>
    <w:p w:rsidR="008A007F" w:rsidRPr="008A007F" w:rsidRDefault="008A007F" w:rsidP="008A007F">
      <w:pPr>
        <w:spacing w:line="240" w:lineRule="auto"/>
        <w:jc w:val="center"/>
        <w:rPr>
          <w:rFonts w:eastAsia="Times New Roman" w:cs="Times New Roman"/>
          <w:color w:val="auto"/>
          <w:szCs w:val="24"/>
          <w:lang w:val="es-CO"/>
        </w:rPr>
      </w:pPr>
      <w:r w:rsidRPr="008A007F">
        <w:rPr>
          <w:rFonts w:eastAsia="Times New Roman" w:cs="Times New Roman"/>
          <w:b/>
          <w:color w:val="auto"/>
          <w:szCs w:val="24"/>
          <w:lang w:val="es-CO"/>
        </w:rPr>
        <w:t>24-01-2018</w:t>
      </w:r>
    </w:p>
    <w:p w:rsidR="008A007F" w:rsidRPr="008A007F" w:rsidRDefault="008A007F" w:rsidP="008A007F">
      <w:pPr>
        <w:spacing w:line="240" w:lineRule="auto"/>
        <w:jc w:val="center"/>
        <w:rPr>
          <w:rFonts w:eastAsia="Times New Roman" w:cs="Times New Roman"/>
          <w:color w:val="auto"/>
          <w:szCs w:val="24"/>
          <w:lang w:val="es-CO"/>
        </w:rPr>
      </w:pPr>
      <w:r w:rsidRPr="008A007F">
        <w:rPr>
          <w:rFonts w:eastAsia="Times New Roman" w:cs="Times New Roman"/>
          <w:b/>
          <w:color w:val="auto"/>
          <w:szCs w:val="24"/>
          <w:lang w:val="es-CO"/>
        </w:rPr>
        <w:t>DIAN</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b/>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b/>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Subdirección de Gestión Normativa y Doctrina</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Bogotá, D.C.</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100208221- 000031</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Señor</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b/>
          <w:color w:val="auto"/>
          <w:szCs w:val="24"/>
          <w:lang w:val="es-CO"/>
        </w:rPr>
        <w:t>ABEL VANEGAS QUESADA</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CL 131 Nº 19-31-APTO 808</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avanegas@ovbrokers.com</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Bogotá D.C.</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proofErr w:type="spellStart"/>
      <w:r w:rsidRPr="008A007F">
        <w:rPr>
          <w:rFonts w:eastAsia="Times New Roman" w:cs="Times New Roman"/>
          <w:b/>
          <w:color w:val="auto"/>
          <w:szCs w:val="24"/>
          <w:lang w:val="es-CO"/>
        </w:rPr>
        <w:t>Ref</w:t>
      </w:r>
      <w:proofErr w:type="spellEnd"/>
      <w:r w:rsidRPr="008A007F">
        <w:rPr>
          <w:rFonts w:eastAsia="Times New Roman" w:cs="Times New Roman"/>
          <w:b/>
          <w:color w:val="auto"/>
          <w:szCs w:val="24"/>
          <w:lang w:val="es-CO"/>
        </w:rPr>
        <w:t xml:space="preserve">: </w:t>
      </w:r>
      <w:r w:rsidRPr="008A007F">
        <w:rPr>
          <w:rFonts w:eastAsia="Times New Roman" w:cs="Times New Roman"/>
          <w:color w:val="auto"/>
          <w:szCs w:val="24"/>
          <w:lang w:val="es-CO"/>
        </w:rPr>
        <w:t>Radicado 100065725 del 20/11/2017</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b/>
          <w:color w:val="auto"/>
          <w:szCs w:val="24"/>
          <w:lang w:val="es-CO"/>
        </w:rPr>
        <w:t xml:space="preserve">Tema </w:t>
      </w:r>
      <w:r w:rsidRPr="008A007F">
        <w:rPr>
          <w:rFonts w:eastAsia="Times New Roman" w:cs="Times New Roman"/>
          <w:color w:val="auto"/>
          <w:szCs w:val="24"/>
          <w:lang w:val="es-CO"/>
        </w:rPr>
        <w:t>Impuesto sobre la Renta y Complementarios</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b/>
          <w:color w:val="auto"/>
          <w:szCs w:val="24"/>
          <w:lang w:val="es-CO"/>
        </w:rPr>
        <w:t xml:space="preserve">Descriptores </w:t>
      </w:r>
      <w:r w:rsidRPr="008A007F">
        <w:rPr>
          <w:rFonts w:eastAsia="Times New Roman" w:cs="Times New Roman"/>
          <w:color w:val="auto"/>
          <w:szCs w:val="24"/>
          <w:lang w:val="es-CO"/>
        </w:rPr>
        <w:t>Régimen Tributario Especial</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b/>
          <w:color w:val="auto"/>
          <w:szCs w:val="24"/>
          <w:lang w:val="es-CO"/>
        </w:rPr>
        <w:t xml:space="preserve">Fuentes formales </w:t>
      </w:r>
      <w:r w:rsidRPr="008A007F">
        <w:rPr>
          <w:rFonts w:eastAsia="Times New Roman" w:cs="Times New Roman"/>
          <w:color w:val="auto"/>
          <w:szCs w:val="24"/>
          <w:lang w:val="es-CO"/>
        </w:rPr>
        <w:t>Artículos 19-5 del Estatuto Tributario. Artículos 1.2.1.5.3.1., 1.2.1.5.3.2. y 1.2.1.5.4.9. del Decreto 1625 de 2016 Único Reglamentario en Materia Tributaria.</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Mediante el radicado de la referencia solicita si para la declaración de renta de las personas jurídicas sin ánimo de lucro originadas en la propiedad horizontal los ingresos incluyen las cuotas de administración o solamente los ingresos por explotación de bienes.</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Sobre el particular se considera:</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El artículo 19-5 del Estatuto Tributario, adicionado por artículo 143 de la Ley 1819 de 2016, que establece lo siguiente:</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b/>
          <w:i/>
          <w:color w:val="auto"/>
          <w:szCs w:val="24"/>
          <w:lang w:val="es-CO"/>
        </w:rPr>
        <w:t>“Artículo 19-5. Otros contribuyentes del impuesto sobre la renta y complementarios.</w:t>
      </w:r>
      <w:r w:rsidRPr="008A007F">
        <w:rPr>
          <w:rFonts w:eastAsia="Times New Roman" w:cs="Times New Roman"/>
          <w:i/>
          <w:color w:val="auto"/>
          <w:szCs w:val="24"/>
          <w:lang w:val="es-CO"/>
        </w:rPr>
        <w:t xml:space="preserve"> Las personas jurídicas en la constitución de la propiedad horizontal se destinan algún o algunos de sus bienes, o áreas comunes para la explotación comercial o industrial, generando algún tipo de renta, serán contribuyentes del régimen ordinario del impuesto sobre la renta y complementarios y del impuesto de industria y comercio.</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i/>
          <w:color w:val="auto"/>
          <w:szCs w:val="24"/>
          <w:lang w:val="es-CO"/>
        </w:rPr>
        <w:t> </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b/>
          <w:i/>
          <w:color w:val="auto"/>
          <w:szCs w:val="24"/>
          <w:lang w:val="es-CO"/>
        </w:rPr>
        <w:t>Parágrafo.</w:t>
      </w:r>
      <w:r w:rsidRPr="008A007F">
        <w:rPr>
          <w:rFonts w:eastAsia="Times New Roman" w:cs="Times New Roman"/>
          <w:i/>
          <w:color w:val="auto"/>
          <w:szCs w:val="24"/>
          <w:lang w:val="es-CO"/>
        </w:rPr>
        <w:t xml:space="preserve"> Se excluirán de lo dispuesto en este artículo las propiedades horizontales de uso residencial.”</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i/>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Nótese como el artículo citado establece que la calidad de contribuyente del impuesto sobre la renta de las personas jurídicas originadas en la constitución de la propiedad horizontal, se da por la generación de algún tipo de renta cuando destinen algún o alguno de sus bienes o áreas comunes para la explotación comercial o industrial o mixto.</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En ese sentido es oportuno señalar que el Gobierno Nacional expidió el Decreto 2150 de 2017, el cual contiene dentro de sus principales modificaciones la sustitución del Capítulo 5 del Título 1 de la Parte 2 del Libro 1 del Decreto 1625 de 2016 Único Reglamentario en Materia Tributaria con el fin de reglamentar la Parte III de la Ley 1819 de 2016 que modifica (entre otros artículos) el 19-5 del Estatuto Tributario.</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lastRenderedPageBreak/>
        <w:t>Con este decreto se adicionan los artículos 1.2.1.5.3.1. y 1.2.1.5.3.2. (entre otros) al Decreto 1625 de 2016; el primero de estos precisa a qué tipo de personas jurídicas sin ánimo de lucro originadas en la propiedad horizontal aplican las previsiones indicadas en este oficio y también lo que se entiende por bienes o áreas comunes en los siguientes términos: “</w:t>
      </w:r>
      <w:r w:rsidRPr="008A007F">
        <w:rPr>
          <w:rFonts w:eastAsia="Times New Roman" w:cs="Times New Roman"/>
          <w:i/>
          <w:color w:val="auto"/>
          <w:szCs w:val="24"/>
          <w:lang w:val="es-CO"/>
        </w:rPr>
        <w:t>las partes del edificio o conjunto sometido al régimen de propiedad horizontal pertenecientes en proindiviso a todos los copropietarios de bienes privados, conforme con lo regulado en la Ley de propiedad horizontal 675 de 2001, o la que la modifique sustituya o adicione.”</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Sobre la pregunta formulada por el peticionario, respecto al tipo de ingresos a incluir en la declaración de renta de estas entidades, el artículo 1.2.1.5.3.2. señala lo siguiente:</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b/>
          <w:color w:val="auto"/>
          <w:szCs w:val="24"/>
          <w:lang w:val="es-CO"/>
        </w:rPr>
        <w:t xml:space="preserve">“Artículo 1.2.1.5.3.2. </w:t>
      </w:r>
      <w:r w:rsidRPr="008A007F">
        <w:rPr>
          <w:rFonts w:eastAsia="Times New Roman" w:cs="Times New Roman"/>
          <w:b/>
          <w:i/>
          <w:color w:val="auto"/>
          <w:szCs w:val="24"/>
          <w:lang w:val="es-CO"/>
        </w:rPr>
        <w:t>Determinación de la renta líquida y el patrimonio fiscal de las personas jurídicas sin ánimo de lucro originadas en la propiedad horizontal contribuyentes del régimen ordinario del impuesto sobre la renta y complementario.</w:t>
      </w:r>
      <w:r w:rsidRPr="008A007F">
        <w:rPr>
          <w:rFonts w:eastAsia="Times New Roman" w:cs="Times New Roman"/>
          <w:color w:val="auto"/>
          <w:szCs w:val="24"/>
          <w:lang w:val="es-CO"/>
        </w:rPr>
        <w:t xml:space="preserve"> Las personas jurídicas sin ánimo de lucro originadas en la propiedad horizontal de uso comercial, industrial o mixto calcularán su renta líquida sobre las rentas generadas por la explotación de algún o algunos de sus bienes o áreas comunes de conformidad con el artículo 26 del Estatuto Tributario.</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Por tanto, sus ingresos, costos, deducciones, activos y pasivos fiscales, serán determinados de conformidad con las normas establecidas en el Estatuto Tributario y en este Decreto para los contribuyentes obligados a llevar contabilidad.</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b/>
          <w:color w:val="auto"/>
          <w:szCs w:val="24"/>
          <w:lang w:val="es-CO"/>
        </w:rPr>
        <w:t>Parágrafo 1.</w:t>
      </w:r>
      <w:r w:rsidRPr="008A007F">
        <w:rPr>
          <w:rFonts w:eastAsia="Times New Roman" w:cs="Times New Roman"/>
          <w:color w:val="auto"/>
          <w:szCs w:val="24"/>
          <w:lang w:val="es-CO"/>
        </w:rPr>
        <w:t xml:space="preserve"> </w:t>
      </w:r>
      <w:r w:rsidRPr="008A007F">
        <w:rPr>
          <w:rFonts w:eastAsia="Times New Roman" w:cs="Times New Roman"/>
          <w:color w:val="auto"/>
          <w:szCs w:val="24"/>
          <w:u w:val="single"/>
          <w:lang w:val="es-CO"/>
        </w:rPr>
        <w:t>Los ingresos originados por cuotas de administración ordinarias y/o extraordinarias en aplicación de la Ley 675 de 2001, así como los costos y gastos asociados a los mismos, no se consideran base gravable para la determinación del impuesto sobre la renta y complementario, y no deberán ser declarados, así como sus activos y pasivos diferentes a sus bienes o áreas comunes que se destinen para la explotación comercial, industrial o mixta</w:t>
      </w:r>
      <w:r w:rsidRPr="008A007F">
        <w:rPr>
          <w:rFonts w:eastAsia="Times New Roman" w:cs="Times New Roman"/>
          <w:color w:val="auto"/>
          <w:szCs w:val="24"/>
          <w:lang w:val="es-CO"/>
        </w:rPr>
        <w:t>.</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b/>
          <w:color w:val="auto"/>
          <w:szCs w:val="24"/>
          <w:lang w:val="es-CO"/>
        </w:rPr>
        <w:t>Parágrafo 2.</w:t>
      </w:r>
      <w:r w:rsidRPr="008A007F">
        <w:rPr>
          <w:rFonts w:eastAsia="Times New Roman" w:cs="Times New Roman"/>
          <w:color w:val="auto"/>
          <w:szCs w:val="24"/>
          <w:lang w:val="es-CO"/>
        </w:rPr>
        <w:t xml:space="preserve"> </w:t>
      </w:r>
      <w:r w:rsidRPr="008A007F">
        <w:rPr>
          <w:rFonts w:eastAsia="Times New Roman" w:cs="Times New Roman"/>
          <w:color w:val="auto"/>
          <w:szCs w:val="24"/>
          <w:u w:val="single"/>
          <w:lang w:val="es-CO"/>
        </w:rPr>
        <w:t>En el evento que el contribuyente tenga rentas gravadas y no gravadas y no sea posible diferenciar con claridad los costos y gastos atribuibles a cada uno, estos deberán aplicarse en proporción a los ingresos asociados a rentas no gravadas sobre los ingresos totales del contribuyente, dando como resultado los costos y gastos imputables a las rentas no gravadas</w:t>
      </w:r>
      <w:r w:rsidRPr="008A007F">
        <w:rPr>
          <w:rFonts w:eastAsia="Times New Roman" w:cs="Times New Roman"/>
          <w:color w:val="auto"/>
          <w:szCs w:val="24"/>
          <w:lang w:val="es-CO"/>
        </w:rPr>
        <w:t>.</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En todo caso, la aplicación de los costos y los gastos a que se refiere el inciso anterior, no dará lugar a pérdidas fiscales susceptibles de ser compensadas en los términos del artículo 147 del Estatuto Tributario, cuando hubiere lugar a ello.”</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(Subrayado fuera del texto)</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Así las cosas, para efectos de la determinación de la renta líquida no deben declararse los ingresos originados por cuotas de administración ordinarias y/o extraordinarias, ni los costos y gastos asociados a los mismos. Nótese además que el artículo citado contempla en su parágrafo 2, el procedimiento a seguir en caso que haya rentas gravadas y no gravadas y no sea posible diferenciar con claridad los costos y gastos atribuibles a cada uno.</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Por último, es importante mencionar que el artículo 1.2.1.5.4.9. del Decreto 1625 de 2016 sobre la exoneración de aportes parafiscales y que, respecto de las personas jurídicas sin ánimo de lucro originadas en la propiedad horizontal de uso comercial, industrial o mixto, que destinan algún o algunos de sus bienes o áreas comunes para la explotación comercial o industrial o mixto de acuerdo con lo previsto en la Ley 675 de 2001, y que generan renta, señala:</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b/>
          <w:i/>
          <w:color w:val="auto"/>
          <w:szCs w:val="24"/>
          <w:lang w:val="es-CO"/>
        </w:rPr>
        <w:t>Artículo 1.2.1.5.4.9. Aportes parafiscales.</w:t>
      </w:r>
      <w:r w:rsidRPr="008A007F">
        <w:rPr>
          <w:rFonts w:eastAsia="Times New Roman" w:cs="Times New Roman"/>
          <w:i/>
          <w:color w:val="auto"/>
          <w:szCs w:val="24"/>
          <w:lang w:val="es-CO"/>
        </w:rPr>
        <w:t xml:space="preserve"> </w:t>
      </w:r>
      <w:r w:rsidRPr="008A007F">
        <w:rPr>
          <w:rFonts w:eastAsia="Times New Roman" w:cs="Times New Roman"/>
          <w:i/>
          <w:color w:val="auto"/>
          <w:szCs w:val="24"/>
          <w:u w:val="single"/>
          <w:lang w:val="es-CO"/>
        </w:rPr>
        <w:t>La exoneración de aportes parafiscales</w:t>
      </w:r>
      <w:r w:rsidRPr="008A007F">
        <w:rPr>
          <w:rFonts w:eastAsia="Times New Roman" w:cs="Times New Roman"/>
          <w:i/>
          <w:color w:val="auto"/>
          <w:szCs w:val="24"/>
          <w:lang w:val="es-CO"/>
        </w:rPr>
        <w:t xml:space="preserve"> a favor del Servicio Nacional de Aprendizaje – SENA, del Instituto Colombiano de Bienestar Familiar – ICBF </w:t>
      </w:r>
      <w:r w:rsidRPr="008A007F">
        <w:rPr>
          <w:rFonts w:eastAsia="Times New Roman" w:cs="Times New Roman"/>
          <w:i/>
          <w:color w:val="auto"/>
          <w:szCs w:val="24"/>
          <w:u w:val="single"/>
          <w:lang w:val="es-CO"/>
        </w:rPr>
        <w:t xml:space="preserve">y las cotizaciones del régimen contributivo de salud, </w:t>
      </w:r>
      <w:r w:rsidRPr="008A007F">
        <w:rPr>
          <w:rFonts w:eastAsia="Times New Roman" w:cs="Times New Roman"/>
          <w:i/>
          <w:color w:val="auto"/>
          <w:szCs w:val="24"/>
          <w:u w:val="single"/>
          <w:lang w:val="es-CO"/>
        </w:rPr>
        <w:lastRenderedPageBreak/>
        <w:t>establecidas en el artículo 114-1 del Estatuto Tributario no resultan aplicables a los contribuyentes</w:t>
      </w:r>
      <w:r w:rsidRPr="008A007F">
        <w:rPr>
          <w:rFonts w:eastAsia="Times New Roman" w:cs="Times New Roman"/>
          <w:i/>
          <w:color w:val="auto"/>
          <w:szCs w:val="24"/>
          <w:lang w:val="es-CO"/>
        </w:rPr>
        <w:t xml:space="preserve"> de que tratan los artículos 19, 19-4 y 19-5 del Estatuto Tributario y 1.2.1.5.1.2. y 1.2.1.5.2.1. y </w:t>
      </w:r>
      <w:r w:rsidRPr="008A007F">
        <w:rPr>
          <w:rFonts w:eastAsia="Times New Roman" w:cs="Times New Roman"/>
          <w:i/>
          <w:color w:val="auto"/>
          <w:szCs w:val="24"/>
          <w:u w:val="single"/>
          <w:lang w:val="es-CO"/>
        </w:rPr>
        <w:t>1.2.1.5.3.1.</w:t>
      </w:r>
      <w:r w:rsidRPr="008A007F">
        <w:rPr>
          <w:rFonts w:eastAsia="Times New Roman" w:cs="Times New Roman"/>
          <w:i/>
          <w:color w:val="auto"/>
          <w:szCs w:val="24"/>
          <w:lang w:val="es-CO"/>
        </w:rPr>
        <w:t xml:space="preserve"> de este Decreto, ni a las cajas de compensación señaladas en el artículo 19-2 del Estatuto Tributario.</w:t>
      </w:r>
    </w:p>
    <w:p w:rsidR="008A007F" w:rsidRPr="008A007F" w:rsidRDefault="008A007F" w:rsidP="008A007F">
      <w:pPr>
        <w:spacing w:line="240" w:lineRule="auto"/>
        <w:ind w:left="420"/>
        <w:rPr>
          <w:rFonts w:eastAsia="Times New Roman" w:cs="Times New Roman"/>
          <w:color w:val="auto"/>
          <w:szCs w:val="24"/>
          <w:lang w:val="es-CO"/>
        </w:rPr>
      </w:pPr>
      <w:r w:rsidRPr="008A007F">
        <w:rPr>
          <w:rFonts w:eastAsia="Times New Roman" w:cs="Times New Roman"/>
          <w:color w:val="auto"/>
          <w:szCs w:val="24"/>
          <w:lang w:val="es-CO"/>
        </w:rPr>
        <w:t>(Subrayado fuera del texto)</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En los anteriores términos se resuelve su solicitud.</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Atentamente,</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 </w:t>
      </w:r>
    </w:p>
    <w:p w:rsidR="008A007F" w:rsidRPr="008A007F" w:rsidRDefault="008A007F" w:rsidP="008A007F">
      <w:pPr>
        <w:spacing w:line="240" w:lineRule="auto"/>
        <w:rPr>
          <w:rFonts w:eastAsia="Times New Roman" w:cs="Times New Roman"/>
          <w:color w:val="auto"/>
          <w:szCs w:val="24"/>
          <w:lang w:val="es-CO"/>
        </w:rPr>
      </w:pPr>
      <w:r w:rsidRPr="008A007F">
        <w:rPr>
          <w:rFonts w:eastAsia="Times New Roman" w:cs="Times New Roman"/>
          <w:b/>
          <w:color w:val="auto"/>
          <w:szCs w:val="24"/>
          <w:lang w:val="es-CO"/>
        </w:rPr>
        <w:t>PEDRO PABLO CONTRERAS CAMARGO</w:t>
      </w:r>
    </w:p>
    <w:p w:rsidR="008A007F" w:rsidRDefault="008A007F" w:rsidP="008A007F">
      <w:pPr>
        <w:spacing w:line="240" w:lineRule="auto"/>
        <w:rPr>
          <w:rFonts w:eastAsia="Times New Roman" w:cs="Times New Roman"/>
          <w:color w:val="auto"/>
          <w:szCs w:val="24"/>
          <w:lang w:val="es-CO"/>
        </w:rPr>
      </w:pPr>
      <w:r w:rsidRPr="008A007F">
        <w:rPr>
          <w:rFonts w:eastAsia="Times New Roman" w:cs="Times New Roman"/>
          <w:color w:val="auto"/>
          <w:szCs w:val="24"/>
          <w:lang w:val="es-CO"/>
        </w:rPr>
        <w:t>Subdirector de Gestión Normativa y Doctrina</w:t>
      </w:r>
    </w:p>
    <w:p w:rsidR="008A007F" w:rsidRPr="008A007F" w:rsidRDefault="008A007F" w:rsidP="008A007F">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w:t>
      </w:r>
      <w:bookmarkStart w:id="0" w:name="_GoBack"/>
      <w:bookmarkEnd w:id="0"/>
    </w:p>
    <w:p w:rsidR="00147980" w:rsidRPr="008A007F" w:rsidRDefault="00147980">
      <w:pPr>
        <w:rPr>
          <w:rFonts w:cs="Times New Roman"/>
          <w:color w:val="auto"/>
          <w:szCs w:val="24"/>
          <w:lang w:val="es-CO"/>
        </w:rPr>
      </w:pPr>
    </w:p>
    <w:sectPr w:rsidR="00147980" w:rsidRPr="008A007F"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7F"/>
    <w:rsid w:val="00147980"/>
    <w:rsid w:val="008A007F"/>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87AA"/>
  <w15:chartTrackingRefBased/>
  <w15:docId w15:val="{2CC514A0-59EF-4BCD-974C-443FEAAB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28535">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1046</Words>
  <Characters>5966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2018-04-22T21:09:00Z</dcterms:created>
  <dcterms:modified xsi:type="dcterms:W3CDTF">2018-04-22T21:18:00Z</dcterms:modified>
</cp:coreProperties>
</file>