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87" w:rsidRPr="00E17487" w:rsidRDefault="00E17487" w:rsidP="00E17487">
      <w:pPr>
        <w:spacing w:line="240" w:lineRule="auto"/>
        <w:jc w:val="center"/>
        <w:rPr>
          <w:rFonts w:eastAsia="Times New Roman" w:cs="Times New Roman"/>
          <w:color w:val="auto"/>
          <w:szCs w:val="24"/>
          <w:lang w:val="es-CO"/>
        </w:rPr>
      </w:pPr>
      <w:r w:rsidRPr="00E17487">
        <w:rPr>
          <w:rFonts w:eastAsia="Times New Roman" w:cs="Times New Roman"/>
          <w:b/>
          <w:bCs/>
          <w:color w:val="auto"/>
          <w:szCs w:val="24"/>
          <w:lang w:val="es-CO"/>
        </w:rPr>
        <w:t>CONCEPTO Nº 0887</w:t>
      </w:r>
    </w:p>
    <w:p w:rsidR="00E17487" w:rsidRPr="00E17487" w:rsidRDefault="00E17487" w:rsidP="00E17487">
      <w:pPr>
        <w:spacing w:line="240" w:lineRule="auto"/>
        <w:jc w:val="center"/>
        <w:rPr>
          <w:rFonts w:eastAsia="Times New Roman" w:cs="Times New Roman"/>
          <w:color w:val="auto"/>
          <w:szCs w:val="24"/>
          <w:lang w:val="es-CO"/>
        </w:rPr>
      </w:pPr>
      <w:r w:rsidRPr="00E17487">
        <w:rPr>
          <w:rFonts w:eastAsia="Times New Roman" w:cs="Times New Roman"/>
          <w:b/>
          <w:bCs/>
          <w:color w:val="auto"/>
          <w:szCs w:val="24"/>
          <w:lang w:val="es-CO"/>
        </w:rPr>
        <w:t>11-07-2018</w:t>
      </w:r>
    </w:p>
    <w:p w:rsidR="00E17487" w:rsidRPr="00E17487" w:rsidRDefault="00E17487" w:rsidP="00E17487">
      <w:pPr>
        <w:spacing w:line="240" w:lineRule="auto"/>
        <w:jc w:val="center"/>
        <w:rPr>
          <w:rFonts w:eastAsia="Times New Roman" w:cs="Times New Roman"/>
          <w:color w:val="auto"/>
          <w:szCs w:val="24"/>
          <w:lang w:val="es-CO"/>
        </w:rPr>
      </w:pPr>
      <w:r w:rsidRPr="00E17487">
        <w:rPr>
          <w:rFonts w:eastAsia="Times New Roman" w:cs="Times New Roman"/>
          <w:b/>
          <w:bCs/>
          <w:color w:val="auto"/>
          <w:szCs w:val="24"/>
          <w:lang w:val="es-CO"/>
        </w:rPr>
        <w:t>DIAN</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Dirección de Gestión Jurídica</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100202208- 0887</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Bogotá, D.C.</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Doctora</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GLORIA NANCY JARA BELTRÁN</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Defensora del Contribuyente y del Usuario Aduanero</w:t>
      </w:r>
    </w:p>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color w:val="auto"/>
          <w:szCs w:val="24"/>
        </w:rPr>
        <w:t>U.A.E. DIAN</w:t>
      </w:r>
    </w:p>
    <w:p w:rsidR="00E17487" w:rsidRPr="00E17487" w:rsidRDefault="00E17487" w:rsidP="00E17487">
      <w:pPr>
        <w:spacing w:line="240" w:lineRule="auto"/>
        <w:rPr>
          <w:rFonts w:eastAsia="Times New Roman" w:cs="Times New Roman"/>
          <w:color w:val="auto"/>
          <w:szCs w:val="24"/>
        </w:rPr>
      </w:pPr>
      <w:hyperlink r:id="rId4" w:history="1">
        <w:r w:rsidRPr="00E17487">
          <w:rPr>
            <w:rFonts w:eastAsia="Times New Roman" w:cs="Times New Roman"/>
            <w:color w:val="auto"/>
            <w:szCs w:val="24"/>
            <w:u w:val="single"/>
          </w:rPr>
          <w:t>gjarab@dian.gov.co</w:t>
        </w:r>
      </w:hyperlink>
    </w:p>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color w:val="auto"/>
          <w:szCs w:val="24"/>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Asunto: </w:t>
      </w:r>
      <w:r w:rsidRPr="00E17487">
        <w:rPr>
          <w:rFonts w:eastAsia="Times New Roman" w:cs="Times New Roman"/>
          <w:color w:val="auto"/>
          <w:szCs w:val="24"/>
          <w:lang w:val="es-CO"/>
        </w:rPr>
        <w:t>Solicitud de revisión de los Conceptos 057551 de 21 de septiembre de 2012, Oficio 100202208-1211 de 25 de noviembre de 2015.</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Atento saludo Cordial saludo Dra. Gloria Nancy Jara</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De conformidad con las funciones a cargo de la Dirección de Gestión Jurídica de la Unidad Administrativa Especial la Dirección de Impuestos y Aduanas Nacional –DIAN- en cumplimiento del artículo 19 del Decreto 4048 de 2008, procedemos a hacer revisión de los Conceptos 057551 de 21 de septiembre de 2012, Oficio 100202208-1211 de 25 de noviembre de 2015.</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tbl>
      <w:tblPr>
        <w:tblW w:w="0" w:type="auto"/>
        <w:tblCellMar>
          <w:left w:w="0" w:type="dxa"/>
          <w:right w:w="0" w:type="dxa"/>
        </w:tblCellMar>
        <w:tblLook w:val="04A0" w:firstRow="1" w:lastRow="0" w:firstColumn="1" w:lastColumn="0" w:noHBand="0" w:noVBand="1"/>
      </w:tblPr>
      <w:tblGrid>
        <w:gridCol w:w="2116"/>
        <w:gridCol w:w="276"/>
        <w:gridCol w:w="276"/>
        <w:gridCol w:w="4915"/>
      </w:tblGrid>
      <w:tr w:rsidR="00E17487" w:rsidRPr="00E17487" w:rsidTr="00E17487">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b/>
                <w:bCs/>
                <w:color w:val="auto"/>
                <w:szCs w:val="24"/>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color w:val="auto"/>
                <w:szCs w:val="24"/>
                <w:lang w:val="es-CO"/>
              </w:rPr>
              <w:t>Procedimiento</w:t>
            </w:r>
          </w:p>
        </w:tc>
      </w:tr>
      <w:tr w:rsidR="00E17487" w:rsidRPr="00E17487" w:rsidTr="00E17487">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b/>
                <w:bCs/>
                <w:color w:val="auto"/>
                <w:szCs w:val="24"/>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Sanción por violar normas que rigen la profesión</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Sanción a sociedades de contadores Públicos</w:t>
            </w:r>
          </w:p>
        </w:tc>
      </w:tr>
      <w:tr w:rsidR="00E17487" w:rsidRPr="00E17487" w:rsidTr="00E17487">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b/>
                <w:bCs/>
                <w:color w:val="auto"/>
                <w:szCs w:val="24"/>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rPr>
            </w:pPr>
            <w:r w:rsidRPr="00E1748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17487" w:rsidRPr="00E17487" w:rsidRDefault="00E17487" w:rsidP="00E17487">
            <w:pPr>
              <w:spacing w:line="240" w:lineRule="auto"/>
              <w:rPr>
                <w:rFonts w:eastAsia="Times New Roman" w:cs="Times New Roman"/>
                <w:color w:val="auto"/>
                <w:szCs w:val="24"/>
                <w:lang w:val="es-CO"/>
              </w:rPr>
            </w:pPr>
            <w:hyperlink r:id="rId5" w:tooltip="Estatuto Tributario CETA" w:history="1">
              <w:r w:rsidRPr="00E17487">
                <w:rPr>
                  <w:rFonts w:eastAsia="Times New Roman" w:cs="Times New Roman"/>
                  <w:color w:val="auto"/>
                  <w:szCs w:val="24"/>
                  <w:u w:val="single"/>
                  <w:lang w:val="es-CO"/>
                </w:rPr>
                <w:t>638</w:t>
              </w:r>
            </w:hyperlink>
            <w:r w:rsidRPr="00E17487">
              <w:rPr>
                <w:rFonts w:eastAsia="Times New Roman" w:cs="Times New Roman"/>
                <w:color w:val="auto"/>
                <w:szCs w:val="24"/>
                <w:lang w:val="es-CO"/>
              </w:rPr>
              <w:t>, </w:t>
            </w:r>
            <w:hyperlink r:id="rId6" w:tooltip="Estatuto Tributario CETA" w:history="1">
              <w:r w:rsidRPr="00E17487">
                <w:rPr>
                  <w:rFonts w:eastAsia="Times New Roman" w:cs="Times New Roman"/>
                  <w:color w:val="auto"/>
                  <w:szCs w:val="24"/>
                  <w:u w:val="single"/>
                  <w:lang w:val="es-CO"/>
                </w:rPr>
                <w:t>659</w:t>
              </w:r>
            </w:hyperlink>
            <w:r w:rsidRPr="00E17487">
              <w:rPr>
                <w:rFonts w:eastAsia="Times New Roman" w:cs="Times New Roman"/>
                <w:color w:val="auto"/>
                <w:szCs w:val="24"/>
                <w:lang w:val="es-CO"/>
              </w:rPr>
              <w:t> y </w:t>
            </w:r>
            <w:hyperlink r:id="rId7" w:tooltip="Estatuto Tributario CETA" w:history="1">
              <w:r w:rsidRPr="00E17487">
                <w:rPr>
                  <w:rFonts w:eastAsia="Times New Roman" w:cs="Times New Roman"/>
                  <w:color w:val="auto"/>
                  <w:szCs w:val="24"/>
                  <w:u w:val="single"/>
                  <w:lang w:val="es-CO"/>
                </w:rPr>
                <w:t>659-1</w:t>
              </w:r>
            </w:hyperlink>
            <w:r w:rsidRPr="00E17487">
              <w:rPr>
                <w:rFonts w:eastAsia="Times New Roman" w:cs="Times New Roman"/>
                <w:color w:val="auto"/>
                <w:szCs w:val="24"/>
                <w:lang w:val="es-CO"/>
              </w:rPr>
              <w:t> del Estatuto Tributario</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Ley 1437 de 2011 artículo 52</w:t>
            </w:r>
          </w:p>
        </w:tc>
      </w:tr>
    </w:tbl>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PROBLEMA JURÍDICO.</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¿El término para imponer las sanciones por violar normas que rigen la profesión de contador o revisor fiscal y la sanción a sociedades de contadores públicos previstas en los artículo (sic) </w:t>
      </w:r>
      <w:hyperlink r:id="rId8" w:tooltip="Estatuto Tributario CETA" w:history="1">
        <w:r w:rsidRPr="00E17487">
          <w:rPr>
            <w:rFonts w:eastAsia="Times New Roman" w:cs="Times New Roman"/>
            <w:color w:val="auto"/>
            <w:szCs w:val="24"/>
            <w:u w:val="single"/>
            <w:lang w:val="es-CO"/>
          </w:rPr>
          <w:t>659</w:t>
        </w:r>
      </w:hyperlink>
      <w:r w:rsidRPr="00E17487">
        <w:rPr>
          <w:rFonts w:eastAsia="Times New Roman" w:cs="Times New Roman"/>
          <w:color w:val="auto"/>
          <w:szCs w:val="24"/>
          <w:lang w:val="es-CO"/>
        </w:rPr>
        <w:t> y </w:t>
      </w:r>
      <w:hyperlink r:id="rId9" w:tooltip="Estatuto Tributario CETA" w:history="1">
        <w:r w:rsidRPr="00E17487">
          <w:rPr>
            <w:rFonts w:eastAsia="Times New Roman" w:cs="Times New Roman"/>
            <w:color w:val="auto"/>
            <w:szCs w:val="24"/>
            <w:u w:val="single"/>
            <w:lang w:val="es-CO"/>
          </w:rPr>
          <w:t>659-1</w:t>
        </w:r>
      </w:hyperlink>
      <w:r w:rsidRPr="00E17487">
        <w:rPr>
          <w:rFonts w:eastAsia="Times New Roman" w:cs="Times New Roman"/>
          <w:color w:val="auto"/>
          <w:szCs w:val="24"/>
          <w:lang w:val="es-CO"/>
        </w:rPr>
        <w:t> del Estatuto Tributario por llevar o aconsejar llevar contabilidades, elaborar estados financieros o expedir certificaciones que no reflejan la realidad económica, es de tres (3) o cinco (5) años?</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SOLUCIÓN AL PROBLEMA JURÍDICO</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Una vez revisados los argumentos jurídicos que dieron sustento al Concepto No. 057551 de 21 de septiembre de 2012 y al Oficio No. 100202208-1211 de 25 de noviembre de 2015, este despacho debe confirmar en su totalidad el mencionado concepto en todas sus partes, al considerar que se encuentran ajustados a derecho.</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Por lo anterior la tesis jurídica consiste en que el término para imponer las sanciones por violar normas que rigen la profesión de contador o revisor fiscal y la sanción a sociedades de contadores públicos previstas en los artículos </w:t>
      </w:r>
      <w:hyperlink r:id="rId10" w:tooltip="Estatuto Tributario CETA" w:history="1">
        <w:r w:rsidRPr="00E17487">
          <w:rPr>
            <w:rFonts w:eastAsia="Times New Roman" w:cs="Times New Roman"/>
            <w:color w:val="auto"/>
            <w:szCs w:val="24"/>
            <w:u w:val="single"/>
            <w:lang w:val="es-CO"/>
          </w:rPr>
          <w:t>659</w:t>
        </w:r>
      </w:hyperlink>
      <w:r w:rsidRPr="00E17487">
        <w:rPr>
          <w:rFonts w:eastAsia="Times New Roman" w:cs="Times New Roman"/>
          <w:color w:val="auto"/>
          <w:szCs w:val="24"/>
          <w:lang w:val="es-CO"/>
        </w:rPr>
        <w:t> y </w:t>
      </w:r>
      <w:hyperlink r:id="rId11" w:tooltip="Estatuto Tributario CETA" w:history="1">
        <w:r w:rsidRPr="00E17487">
          <w:rPr>
            <w:rFonts w:eastAsia="Times New Roman" w:cs="Times New Roman"/>
            <w:color w:val="auto"/>
            <w:szCs w:val="24"/>
            <w:u w:val="single"/>
            <w:lang w:val="es-CO"/>
          </w:rPr>
          <w:t>659-1</w:t>
        </w:r>
      </w:hyperlink>
      <w:r w:rsidRPr="00E17487">
        <w:rPr>
          <w:rFonts w:eastAsia="Times New Roman" w:cs="Times New Roman"/>
          <w:color w:val="auto"/>
          <w:szCs w:val="24"/>
          <w:lang w:val="es-CO"/>
        </w:rPr>
        <w:t> del Estatuto Tributario es de cinco (5) años.</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INTERPRETACIÓN JURÍDICA.</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xml:space="preserve">Este concepto se emite dentro del marco de generalidad preceptuado en el artículo 19 del Decreto 4038 (Sic) de 2008, razón por la cual no puede entenderse referido </w:t>
      </w:r>
      <w:proofErr w:type="spellStart"/>
      <w:r w:rsidRPr="00E17487">
        <w:rPr>
          <w:rFonts w:eastAsia="Times New Roman" w:cs="Times New Roman"/>
          <w:color w:val="auto"/>
          <w:szCs w:val="24"/>
          <w:lang w:val="es-CO"/>
        </w:rPr>
        <w:t>a caso</w:t>
      </w:r>
      <w:proofErr w:type="spellEnd"/>
      <w:r w:rsidRPr="00E17487">
        <w:rPr>
          <w:rFonts w:eastAsia="Times New Roman" w:cs="Times New Roman"/>
          <w:color w:val="auto"/>
          <w:szCs w:val="24"/>
          <w:lang w:val="es-CO"/>
        </w:rPr>
        <w:t xml:space="preserve"> particular alguno.</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lastRenderedPageBreak/>
        <w:t>El </w:t>
      </w:r>
      <w:hyperlink r:id="rId12" w:tooltip="Estatuto Tributario CETA" w:history="1">
        <w:r w:rsidRPr="00E17487">
          <w:rPr>
            <w:rFonts w:eastAsia="Times New Roman" w:cs="Times New Roman"/>
            <w:color w:val="auto"/>
            <w:szCs w:val="24"/>
            <w:u w:val="single"/>
            <w:lang w:val="es-CO"/>
          </w:rPr>
          <w:t>artículo 659</w:t>
        </w:r>
      </w:hyperlink>
      <w:r w:rsidRPr="00E17487">
        <w:rPr>
          <w:rFonts w:eastAsia="Times New Roman" w:cs="Times New Roman"/>
          <w:color w:val="auto"/>
          <w:szCs w:val="24"/>
          <w:lang w:val="es-CO"/>
        </w:rPr>
        <w:t> del Estatuto Tributario establece que los Contadores Públicos, Auditores o Revisores Fiscales que lleven o aconsejen llevar contabilidades, elaboren estados financieros o expidan certificaciones que no reflejen la realidad económica de acuerdo con los principios de contabilidad generalmente aceptados, que no coincidan con los asientos registrados en los libros, o emitan dictámenes u opiniones sin sujeción a las normas de auditoría generalmente aceptadas, que sirvan de base para la elaboración de declaraciones tributarias, o para soportar actuaciones ante la Administración Tributaria, incurrirán en términos de la Ley 43 de 1990, en las sanciones de multa, suspensión o cancelación de su inscripción profesional de acuerdo con la gravedad de la falta.</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Que en iguales sanciones incurrirán si no suministran a la Administración Tributaria oportunamente las informaciones o pruebas que les sean solicitadas; sanciones que, como lo indica el mismo artículo, serán impuestas por la Junta Central de Contadores de la cual hace parte el Director de Impuestos y Aduanas Nacionales o su delegado –quien deberá ser contador público-.</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A su vez, el </w:t>
      </w:r>
      <w:hyperlink r:id="rId13" w:tooltip="Estatuto Tributario CETA" w:history="1">
        <w:r w:rsidRPr="00E17487">
          <w:rPr>
            <w:rFonts w:eastAsia="Times New Roman" w:cs="Times New Roman"/>
            <w:color w:val="auto"/>
            <w:szCs w:val="24"/>
            <w:u w:val="single"/>
            <w:lang w:val="es-CO"/>
          </w:rPr>
          <w:t>artículo 659-1</w:t>
        </w:r>
      </w:hyperlink>
      <w:r w:rsidRPr="00E17487">
        <w:rPr>
          <w:rFonts w:eastAsia="Times New Roman" w:cs="Times New Roman"/>
          <w:color w:val="auto"/>
          <w:szCs w:val="24"/>
          <w:lang w:val="es-CO"/>
        </w:rPr>
        <w:t> prevé que las sociedades de contadores públicos que ordenen o toleren que los Contadores Públicos a su servicio incurran en los hechos descritos en el artículo anterior, serán sancionadas por la Junta Central de Contadores con multas hasta de 590 UVT, sanción que será determinada teniendo en cuenta la gravedad de la falta cometida por el personal a su servicio y el patrimonio de la respectiva sociedad. Prevé el artículo citado además, que se presume que las sociedades de contadores públicos han ordenado o tolerado tales hechos, cuando no demuestren que, de acuerdo con las normas de auditoría generalmente aceptadas, ejercen un control de calidad del trabajo de auditoría o cuando en tres o más ocasiones la sanción del artículo 659 ha recaído en personas que pertenezcan a la sociedad como auditores, contadores o revisores fiscales, caso en el cual procederá la sanción prevista en el artículo 659 citado.</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Por otra parte, el mismo Estatuto Tributario en su </w:t>
      </w:r>
      <w:hyperlink r:id="rId14" w:tooltip="Estatuto Tributario CETA" w:history="1">
        <w:r w:rsidRPr="00E17487">
          <w:rPr>
            <w:rFonts w:eastAsia="Times New Roman" w:cs="Times New Roman"/>
            <w:color w:val="auto"/>
            <w:szCs w:val="24"/>
            <w:u w:val="single"/>
            <w:lang w:val="es-CO"/>
          </w:rPr>
          <w:t>artículo 638</w:t>
        </w:r>
      </w:hyperlink>
      <w:r w:rsidRPr="00E17487">
        <w:rPr>
          <w:rFonts w:eastAsia="Times New Roman" w:cs="Times New Roman"/>
          <w:color w:val="auto"/>
          <w:szCs w:val="24"/>
          <w:lang w:val="es-CO"/>
        </w:rPr>
        <w:t> establece de manera taxativa que, entre otras, las sanciones previstas en los artículos </w:t>
      </w:r>
      <w:hyperlink r:id="rId15" w:tooltip="Estatuto Tributario CETA" w:history="1">
        <w:r w:rsidRPr="00E17487">
          <w:rPr>
            <w:rFonts w:eastAsia="Times New Roman" w:cs="Times New Roman"/>
            <w:color w:val="auto"/>
            <w:szCs w:val="24"/>
            <w:u w:val="single"/>
            <w:lang w:val="es-CO"/>
          </w:rPr>
          <w:t>659</w:t>
        </w:r>
      </w:hyperlink>
      <w:r w:rsidRPr="00E17487">
        <w:rPr>
          <w:rFonts w:eastAsia="Times New Roman" w:cs="Times New Roman"/>
          <w:color w:val="auto"/>
          <w:szCs w:val="24"/>
          <w:lang w:val="es-CO"/>
        </w:rPr>
        <w:t> y </w:t>
      </w:r>
      <w:hyperlink r:id="rId16" w:tooltip="Estatuto Tributario CETA" w:history="1">
        <w:r w:rsidRPr="00E17487">
          <w:rPr>
            <w:rFonts w:eastAsia="Times New Roman" w:cs="Times New Roman"/>
            <w:color w:val="auto"/>
            <w:szCs w:val="24"/>
            <w:u w:val="single"/>
            <w:lang w:val="es-CO"/>
          </w:rPr>
          <w:t>659-1</w:t>
        </w:r>
      </w:hyperlink>
      <w:r w:rsidRPr="00E17487">
        <w:rPr>
          <w:rFonts w:eastAsia="Times New Roman" w:cs="Times New Roman"/>
          <w:color w:val="auto"/>
          <w:szCs w:val="24"/>
          <w:lang w:val="es-CO"/>
        </w:rPr>
        <w:t>, prescriben en el término de cinco (5) años.</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highlight w:val="green"/>
          <w:lang w:val="es-CO"/>
        </w:rPr>
        <w:t>Adicionalmente, recientemente en sentencia del Consejo de Estado, Sección Cuarta, la sala hizo una precisión sobre la interpretación del </w:t>
      </w:r>
      <w:hyperlink r:id="rId17" w:tooltip="Estatuto Tributario CETA" w:history="1">
        <w:r w:rsidRPr="00E17487">
          <w:rPr>
            <w:rFonts w:eastAsia="Times New Roman" w:cs="Times New Roman"/>
            <w:color w:val="auto"/>
            <w:szCs w:val="24"/>
            <w:highlight w:val="green"/>
            <w:u w:val="single"/>
            <w:lang w:val="es-CO"/>
          </w:rPr>
          <w:t>artículo 638</w:t>
        </w:r>
      </w:hyperlink>
      <w:r w:rsidRPr="00E17487">
        <w:rPr>
          <w:rFonts w:eastAsia="Times New Roman" w:cs="Times New Roman"/>
          <w:color w:val="auto"/>
          <w:szCs w:val="24"/>
          <w:highlight w:val="green"/>
          <w:lang w:val="es-CO"/>
        </w:rPr>
        <w:t> del Estatuto Tributario</w:t>
      </w:r>
      <w:r w:rsidRPr="00E17487">
        <w:rPr>
          <w:rFonts w:eastAsia="Times New Roman" w:cs="Times New Roman"/>
          <w:color w:val="auto"/>
          <w:szCs w:val="24"/>
          <w:lang w:val="es-CO"/>
        </w:rPr>
        <w:t xml:space="preserve"> indicando que se trata de caducidad de la facultad sancionatoria, en los siguientes términos: </w:t>
      </w:r>
      <w:r w:rsidRPr="00E17487">
        <w:rPr>
          <w:rFonts w:eastAsia="Times New Roman" w:cs="Times New Roman"/>
          <w:i/>
          <w:iCs/>
          <w:color w:val="auto"/>
          <w:szCs w:val="24"/>
          <w:lang w:val="es-CO"/>
        </w:rPr>
        <w:t xml:space="preserve">“(…) En primer lugar, la Sala precisa qué si bien la norma del Estatuto Tributario se refiere a la “prescripción” de la facultad para imponer sanciones, técnicamente debe aludirse a la “caducidad”, en tanto se refiere a un término </w:t>
      </w:r>
      <w:proofErr w:type="spellStart"/>
      <w:r w:rsidRPr="00E17487">
        <w:rPr>
          <w:rFonts w:eastAsia="Times New Roman" w:cs="Times New Roman"/>
          <w:i/>
          <w:iCs/>
          <w:color w:val="auto"/>
          <w:szCs w:val="24"/>
          <w:lang w:val="es-CO"/>
        </w:rPr>
        <w:t>preclusivo</w:t>
      </w:r>
      <w:proofErr w:type="spellEnd"/>
      <w:r w:rsidRPr="00E17487">
        <w:rPr>
          <w:rFonts w:eastAsia="Times New Roman" w:cs="Times New Roman"/>
          <w:i/>
          <w:iCs/>
          <w:color w:val="auto"/>
          <w:szCs w:val="24"/>
          <w:lang w:val="es-CO"/>
        </w:rPr>
        <w:t xml:space="preserve"> </w:t>
      </w:r>
      <w:bookmarkStart w:id="0" w:name="_GoBack"/>
      <w:bookmarkEnd w:id="0"/>
      <w:r w:rsidRPr="00E17487">
        <w:rPr>
          <w:rFonts w:eastAsia="Times New Roman" w:cs="Times New Roman"/>
          <w:i/>
          <w:iCs/>
          <w:color w:val="auto"/>
          <w:szCs w:val="24"/>
          <w:lang w:val="es-CO"/>
        </w:rPr>
        <w:t>de carácter sustancial que tiene la administración tributaria para ejercer la potestad sancionatoria, so pena de que esta se extinga. Lo anterior, en armonía, entre otros, con el artículo 52 del CPACA, que regula, en general, la caducidad de la facultad sancionatoria en sede administrativa. (…) </w:t>
      </w:r>
      <w:r w:rsidRPr="00E17487">
        <w:rPr>
          <w:rFonts w:eastAsia="Times New Roman" w:cs="Times New Roman"/>
          <w:color w:val="auto"/>
          <w:szCs w:val="24"/>
          <w:lang w:val="es-CO"/>
        </w:rPr>
        <w:t>Consejo de Estado, Sección Cuarta de 8 de febrero del (2018) radicado No. 08001-23-32-000-2012-00516-01(22060), Consejero ponente: Stella Jeannette Carvajal Basto, demandado: Dirección de Impuestos y Aduanas Nacionales – DIAN.</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Ahora, si bien la Ley 1437 de 2011, por medio de la cual se expidió el Código de Procedimiento Administrativo y de lo Contencioso Administrativo en el artículo 52 relativo a la </w:t>
      </w:r>
      <w:r w:rsidRPr="00E17487">
        <w:rPr>
          <w:rFonts w:eastAsia="Times New Roman" w:cs="Times New Roman"/>
          <w:i/>
          <w:iCs/>
          <w:color w:val="auto"/>
          <w:szCs w:val="24"/>
          <w:lang w:val="es-CO"/>
        </w:rPr>
        <w:t>caducidad de la facultad sancionatoria y que hace parte del capítulo III </w:t>
      </w:r>
      <w:r w:rsidRPr="00E17487">
        <w:rPr>
          <w:rFonts w:eastAsia="Times New Roman" w:cs="Times New Roman"/>
          <w:color w:val="auto"/>
          <w:szCs w:val="24"/>
          <w:lang w:val="es-CO"/>
        </w:rPr>
        <w:t>que trata el procedimiento administrativo sancionatorio establece que la facultad que tienen las autoridades para imponer sanciones caduca a los tres (3) años de ocurrido el hecho, la conducta u omisión que pudiere ocasionarlas; término dentro del cual el acto administrativo que impone la sanción debe haber sido expedido y notificado, esa misma disposición señala que el término que allí establece aplica salvo lo dispuesto en leyes especiales.</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Sabido es que, dado el carácter del Código de Procedimiento Administrativo, únicamente en ausencia de norma especial aplican sus disposiciones, razón por la cual con fundamento en el </w:t>
      </w:r>
      <w:hyperlink r:id="rId18" w:tooltip="Estatuto Tributario CETA" w:history="1">
        <w:r w:rsidRPr="00E17487">
          <w:rPr>
            <w:rFonts w:eastAsia="Times New Roman" w:cs="Times New Roman"/>
            <w:color w:val="auto"/>
            <w:szCs w:val="24"/>
            <w:u w:val="single"/>
            <w:lang w:val="es-CO"/>
          </w:rPr>
          <w:t>artículo 638</w:t>
        </w:r>
      </w:hyperlink>
      <w:r w:rsidRPr="00E17487">
        <w:rPr>
          <w:rFonts w:eastAsia="Times New Roman" w:cs="Times New Roman"/>
          <w:color w:val="auto"/>
          <w:szCs w:val="24"/>
          <w:lang w:val="es-CO"/>
        </w:rPr>
        <w:t xml:space="preserve"> del Estatuto Tributario –norma especial- puede concluirse entonces, que el término para imponer las sanciones por violar normas que rigen la profesión de contador </w:t>
      </w:r>
      <w:r w:rsidRPr="00E17487">
        <w:rPr>
          <w:rFonts w:eastAsia="Times New Roman" w:cs="Times New Roman"/>
          <w:color w:val="auto"/>
          <w:szCs w:val="24"/>
          <w:lang w:val="es-CO"/>
        </w:rPr>
        <w:lastRenderedPageBreak/>
        <w:t>o revisor fiscal y la sanción a sociedades de contadores públicos previstas los artículos </w:t>
      </w:r>
      <w:hyperlink r:id="rId19" w:tooltip="Estatuto Tributario CETA" w:history="1">
        <w:r w:rsidRPr="00E17487">
          <w:rPr>
            <w:rFonts w:eastAsia="Times New Roman" w:cs="Times New Roman"/>
            <w:color w:val="auto"/>
            <w:szCs w:val="24"/>
            <w:u w:val="single"/>
            <w:lang w:val="es-CO"/>
          </w:rPr>
          <w:t>659</w:t>
        </w:r>
      </w:hyperlink>
      <w:r w:rsidRPr="00E17487">
        <w:rPr>
          <w:rFonts w:eastAsia="Times New Roman" w:cs="Times New Roman"/>
          <w:color w:val="auto"/>
          <w:szCs w:val="24"/>
          <w:lang w:val="es-CO"/>
        </w:rPr>
        <w:t> y </w:t>
      </w:r>
      <w:hyperlink r:id="rId20" w:tooltip="Estatuto Tributario CETA" w:history="1">
        <w:r w:rsidRPr="00E17487">
          <w:rPr>
            <w:rFonts w:eastAsia="Times New Roman" w:cs="Times New Roman"/>
            <w:color w:val="auto"/>
            <w:szCs w:val="24"/>
            <w:u w:val="single"/>
            <w:lang w:val="es-CO"/>
          </w:rPr>
          <w:t>659-1</w:t>
        </w:r>
      </w:hyperlink>
      <w:r w:rsidRPr="00E17487">
        <w:rPr>
          <w:rFonts w:eastAsia="Times New Roman" w:cs="Times New Roman"/>
          <w:color w:val="auto"/>
          <w:szCs w:val="24"/>
          <w:lang w:val="es-CO"/>
        </w:rPr>
        <w:t> del Estatuto tributario es de cinco (5) años.</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Atentamente,</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 </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b/>
          <w:bCs/>
          <w:color w:val="auto"/>
          <w:szCs w:val="24"/>
          <w:lang w:val="es-CO"/>
        </w:rPr>
        <w:t>LILIANA ANDREA FORERO GÓMEZ</w:t>
      </w:r>
    </w:p>
    <w:p w:rsidR="00E17487" w:rsidRPr="00E17487" w:rsidRDefault="00E17487" w:rsidP="00E17487">
      <w:pPr>
        <w:spacing w:line="240" w:lineRule="auto"/>
        <w:rPr>
          <w:rFonts w:eastAsia="Times New Roman" w:cs="Times New Roman"/>
          <w:color w:val="auto"/>
          <w:szCs w:val="24"/>
          <w:lang w:val="es-CO"/>
        </w:rPr>
      </w:pPr>
      <w:r w:rsidRPr="00E17487">
        <w:rPr>
          <w:rFonts w:eastAsia="Times New Roman" w:cs="Times New Roman"/>
          <w:color w:val="auto"/>
          <w:szCs w:val="24"/>
          <w:lang w:val="es-CO"/>
        </w:rPr>
        <w:t>Directora de Gestión Jurídica</w:t>
      </w:r>
    </w:p>
    <w:p w:rsidR="00147980" w:rsidRPr="00E17487" w:rsidRDefault="00147980">
      <w:pPr>
        <w:rPr>
          <w:rFonts w:cs="Times New Roman"/>
          <w:color w:val="auto"/>
          <w:szCs w:val="24"/>
          <w:lang w:val="es-CO"/>
        </w:rPr>
      </w:pPr>
    </w:p>
    <w:sectPr w:rsidR="00147980" w:rsidRPr="00E17487" w:rsidSect="00D1171E">
      <w:pgSz w:w="12191" w:h="18711"/>
      <w:pgMar w:top="1366" w:right="1444" w:bottom="529" w:left="2192"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87"/>
    <w:rsid w:val="00147980"/>
    <w:rsid w:val="00B66046"/>
    <w:rsid w:val="00D1171E"/>
    <w:rsid w:val="00E17487"/>
    <w:rsid w:val="00E5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10708-EF2A-4CBA-A11B-60D67DD4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20" TargetMode="External"/><Relationship Id="rId13" Type="http://schemas.openxmlformats.org/officeDocument/2006/relationships/hyperlink" Target="https://www.ceta.org.co/html/vista_de_un_articulo.asp?Norma=821" TargetMode="External"/><Relationship Id="rId18" Type="http://schemas.openxmlformats.org/officeDocument/2006/relationships/hyperlink" Target="https://www.ceta.org.co/html/vista_de_un_articulo.asp?Norma=79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821" TargetMode="External"/><Relationship Id="rId12" Type="http://schemas.openxmlformats.org/officeDocument/2006/relationships/hyperlink" Target="https://www.ceta.org.co/html/vista_de_un_articulo.asp?Norma=820" TargetMode="External"/><Relationship Id="rId17" Type="http://schemas.openxmlformats.org/officeDocument/2006/relationships/hyperlink" Target="https://www.ceta.org.co/html/vista_de_un_articulo.asp?Norma=793" TargetMode="External"/><Relationship Id="rId2" Type="http://schemas.openxmlformats.org/officeDocument/2006/relationships/settings" Target="settings.xml"/><Relationship Id="rId16" Type="http://schemas.openxmlformats.org/officeDocument/2006/relationships/hyperlink" Target="https://www.ceta.org.co/html/vista_de_un_articulo.asp?Norma=821" TargetMode="External"/><Relationship Id="rId20" Type="http://schemas.openxmlformats.org/officeDocument/2006/relationships/hyperlink" Target="https://www.ceta.org.co/html/vista_de_un_articulo.asp?Norma=821" TargetMode="External"/><Relationship Id="rId1" Type="http://schemas.openxmlformats.org/officeDocument/2006/relationships/styles" Target="styles.xml"/><Relationship Id="rId6" Type="http://schemas.openxmlformats.org/officeDocument/2006/relationships/hyperlink" Target="https://www.ceta.org.co/html/vista_de_un_articulo.asp?Norma=820" TargetMode="External"/><Relationship Id="rId11" Type="http://schemas.openxmlformats.org/officeDocument/2006/relationships/hyperlink" Target="https://www.ceta.org.co/html/vista_de_un_articulo.asp?Norma=821" TargetMode="External"/><Relationship Id="rId5" Type="http://schemas.openxmlformats.org/officeDocument/2006/relationships/hyperlink" Target="https://www.ceta.org.co/html/vista_de_un_articulo.asp?Norma=793" TargetMode="External"/><Relationship Id="rId15" Type="http://schemas.openxmlformats.org/officeDocument/2006/relationships/hyperlink" Target="https://www.ceta.org.co/html/vista_de_un_articulo.asp?Norma=820" TargetMode="External"/><Relationship Id="rId10" Type="http://schemas.openxmlformats.org/officeDocument/2006/relationships/hyperlink" Target="https://www.ceta.org.co/html/vista_de_un_articulo.asp?Norma=820" TargetMode="External"/><Relationship Id="rId19" Type="http://schemas.openxmlformats.org/officeDocument/2006/relationships/hyperlink" Target="https://www.ceta.org.co/html/vista_de_un_articulo.asp?Norma=820" TargetMode="External"/><Relationship Id="rId4" Type="http://schemas.openxmlformats.org/officeDocument/2006/relationships/hyperlink" Target="mailto:gjarab@dian.gov.co" TargetMode="External"/><Relationship Id="rId9" Type="http://schemas.openxmlformats.org/officeDocument/2006/relationships/hyperlink" Target="https://www.ceta.org.co/html/vista_de_un_articulo.asp?Norma=821" TargetMode="External"/><Relationship Id="rId14" Type="http://schemas.openxmlformats.org/officeDocument/2006/relationships/hyperlink" Target="https://www.ceta.org.co/html/vista_de_un_articulo.asp?Norma=79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1299</Words>
  <Characters>7407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2018-10-03T13:23:00Z</dcterms:created>
  <dcterms:modified xsi:type="dcterms:W3CDTF">2018-10-03T13:26:00Z</dcterms:modified>
</cp:coreProperties>
</file>