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F7" w:rsidRPr="00E76BF7" w:rsidRDefault="00E76BF7" w:rsidP="00E76BF7">
      <w:pPr>
        <w:spacing w:line="240" w:lineRule="auto"/>
        <w:jc w:val="center"/>
        <w:rPr>
          <w:rFonts w:eastAsia="Times New Roman" w:cs="Times New Roman"/>
          <w:color w:val="auto"/>
          <w:szCs w:val="24"/>
          <w:lang w:val="es-CO"/>
        </w:rPr>
      </w:pPr>
      <w:r w:rsidRPr="00E76BF7">
        <w:rPr>
          <w:rFonts w:eastAsia="Times New Roman" w:cs="Times New Roman"/>
          <w:b/>
          <w:bCs/>
          <w:color w:val="auto"/>
          <w:szCs w:val="24"/>
          <w:lang w:val="es-CO"/>
        </w:rPr>
        <w:t>OFICIO Nº 013635</w:t>
      </w:r>
    </w:p>
    <w:p w:rsidR="00E76BF7" w:rsidRPr="00E76BF7" w:rsidRDefault="00E76BF7" w:rsidP="00E76BF7">
      <w:pPr>
        <w:spacing w:line="240" w:lineRule="auto"/>
        <w:jc w:val="center"/>
        <w:rPr>
          <w:rFonts w:eastAsia="Times New Roman" w:cs="Times New Roman"/>
          <w:color w:val="auto"/>
          <w:szCs w:val="24"/>
          <w:lang w:val="es-CO"/>
        </w:rPr>
      </w:pPr>
      <w:r w:rsidRPr="00E76BF7">
        <w:rPr>
          <w:rFonts w:eastAsia="Times New Roman" w:cs="Times New Roman"/>
          <w:b/>
          <w:bCs/>
          <w:color w:val="auto"/>
          <w:szCs w:val="24"/>
          <w:lang w:val="es-CO"/>
        </w:rPr>
        <w:t>25-05-2018</w:t>
      </w:r>
    </w:p>
    <w:p w:rsidR="00E76BF7" w:rsidRPr="00E76BF7" w:rsidRDefault="00E76BF7" w:rsidP="00E76BF7">
      <w:pPr>
        <w:spacing w:line="240" w:lineRule="auto"/>
        <w:jc w:val="center"/>
        <w:rPr>
          <w:rFonts w:eastAsia="Times New Roman" w:cs="Times New Roman"/>
          <w:color w:val="auto"/>
          <w:szCs w:val="24"/>
          <w:lang w:val="es-CO"/>
        </w:rPr>
      </w:pPr>
      <w:r w:rsidRPr="00E76BF7">
        <w:rPr>
          <w:rFonts w:eastAsia="Times New Roman" w:cs="Times New Roman"/>
          <w:b/>
          <w:bCs/>
          <w:color w:val="auto"/>
          <w:szCs w:val="24"/>
          <w:lang w:val="es-CO"/>
        </w:rPr>
        <w:t>DIAN</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Subdirección de Gestión Normativa y Doctrina</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Bogotá, D.C.</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100208221- 000810</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Señor</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CESAR AUGUSTO RÚA GONZÁLEZ</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xml:space="preserve">Calle 32B No 81B – 43 Bloque 23 </w:t>
      </w:r>
      <w:proofErr w:type="spellStart"/>
      <w:r w:rsidRPr="00E76BF7">
        <w:rPr>
          <w:rFonts w:eastAsia="Times New Roman" w:cs="Times New Roman"/>
          <w:color w:val="auto"/>
          <w:szCs w:val="24"/>
          <w:lang w:val="es-CO"/>
        </w:rPr>
        <w:t>Int</w:t>
      </w:r>
      <w:proofErr w:type="spellEnd"/>
      <w:r w:rsidRPr="00E76BF7">
        <w:rPr>
          <w:rFonts w:eastAsia="Times New Roman" w:cs="Times New Roman"/>
          <w:color w:val="auto"/>
          <w:szCs w:val="24"/>
          <w:lang w:val="es-CO"/>
        </w:rPr>
        <w:t xml:space="preserve"> 102</w:t>
      </w:r>
    </w:p>
    <w:p w:rsidR="00E76BF7" w:rsidRPr="00E76BF7" w:rsidRDefault="00E3398D" w:rsidP="00E76BF7">
      <w:pPr>
        <w:spacing w:line="240" w:lineRule="auto"/>
        <w:rPr>
          <w:rFonts w:eastAsia="Times New Roman" w:cs="Times New Roman"/>
          <w:color w:val="auto"/>
          <w:szCs w:val="24"/>
          <w:lang w:val="es-CO"/>
        </w:rPr>
      </w:pPr>
      <w:r>
        <w:fldChar w:fldCharType="begin"/>
      </w:r>
      <w:r w:rsidRPr="00E3398D">
        <w:rPr>
          <w:lang w:val="es-CO"/>
        </w:rPr>
        <w:instrText xml:space="preserve"> HYPERLINK "mailto:cesarrua@revisoresytributarios.com" </w:instrText>
      </w:r>
      <w:r>
        <w:fldChar w:fldCharType="separate"/>
      </w:r>
      <w:r w:rsidR="00E76BF7" w:rsidRPr="00E76BF7">
        <w:rPr>
          <w:rFonts w:eastAsia="Times New Roman" w:cs="Times New Roman"/>
          <w:color w:val="auto"/>
          <w:szCs w:val="24"/>
          <w:u w:val="single"/>
          <w:lang w:val="es-CO"/>
        </w:rPr>
        <w:t>cesarrua@revisoresytributarios.com</w:t>
      </w:r>
      <w:r>
        <w:rPr>
          <w:rFonts w:eastAsia="Times New Roman" w:cs="Times New Roman"/>
          <w:color w:val="auto"/>
          <w:szCs w:val="24"/>
          <w:u w:val="single"/>
          <w:lang w:val="es-CO"/>
        </w:rPr>
        <w:fldChar w:fldCharType="end"/>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Medellín (Antioquia)</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proofErr w:type="spellStart"/>
      <w:r w:rsidRPr="00E76BF7">
        <w:rPr>
          <w:rFonts w:eastAsia="Times New Roman" w:cs="Times New Roman"/>
          <w:b/>
          <w:bCs/>
          <w:color w:val="auto"/>
          <w:szCs w:val="24"/>
          <w:lang w:val="es-CO"/>
        </w:rPr>
        <w:t>Ref</w:t>
      </w:r>
      <w:proofErr w:type="spellEnd"/>
      <w:r w:rsidRPr="00E76BF7">
        <w:rPr>
          <w:rFonts w:eastAsia="Times New Roman" w:cs="Times New Roman"/>
          <w:b/>
          <w:bCs/>
          <w:color w:val="auto"/>
          <w:szCs w:val="24"/>
          <w:lang w:val="es-CO"/>
        </w:rPr>
        <w:t>:</w:t>
      </w:r>
      <w:r w:rsidRPr="00E76BF7">
        <w:rPr>
          <w:rFonts w:eastAsia="Times New Roman" w:cs="Times New Roman"/>
          <w:color w:val="auto"/>
          <w:szCs w:val="24"/>
          <w:lang w:val="es-CO"/>
        </w:rPr>
        <w:t> Radicado 100010369 del 05/04/2018</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Cordial saludo, Sr. Rúa</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En la petición allegada solicita le sean absueltos los siguientes interrogantes:</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i/>
          <w:iCs/>
          <w:color w:val="auto"/>
          <w:szCs w:val="24"/>
          <w:lang w:val="es-CO"/>
        </w:rPr>
        <w:t>1. El primer inciso del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b/>
          <w:bCs/>
          <w:i/>
          <w:iCs/>
          <w:color w:val="auto"/>
          <w:szCs w:val="24"/>
          <w:u w:val="single"/>
          <w:lang w:val="es-CO"/>
        </w:rPr>
        <w:t>artículo 771-5</w:t>
      </w:r>
      <w:r w:rsidR="00E3398D">
        <w:rPr>
          <w:rFonts w:eastAsia="Times New Roman" w:cs="Times New Roman"/>
          <w:b/>
          <w:bCs/>
          <w:i/>
          <w:iCs/>
          <w:color w:val="auto"/>
          <w:szCs w:val="24"/>
          <w:u w:val="single"/>
          <w:lang w:val="es-CO"/>
        </w:rPr>
        <w:fldChar w:fldCharType="end"/>
      </w:r>
      <w:r w:rsidRPr="00E76BF7">
        <w:rPr>
          <w:rFonts w:eastAsia="Times New Roman" w:cs="Times New Roman"/>
          <w:b/>
          <w:bCs/>
          <w:i/>
          <w:iCs/>
          <w:color w:val="auto"/>
          <w:szCs w:val="24"/>
          <w:lang w:val="es-CO"/>
        </w:rPr>
        <w:t> ibídem establece: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b/>
          <w:bCs/>
          <w:i/>
          <w:iCs/>
          <w:color w:val="auto"/>
          <w:szCs w:val="24"/>
          <w:u w:val="single"/>
          <w:lang w:val="es-CO"/>
        </w:rPr>
        <w:t>ARTÍCULO 771-5</w:t>
      </w:r>
      <w:r w:rsidR="00E3398D">
        <w:rPr>
          <w:rFonts w:eastAsia="Times New Roman" w:cs="Times New Roman"/>
          <w:b/>
          <w:bCs/>
          <w:i/>
          <w:iCs/>
          <w:color w:val="auto"/>
          <w:szCs w:val="24"/>
          <w:u w:val="single"/>
          <w:lang w:val="es-CO"/>
        </w:rPr>
        <w:fldChar w:fldCharType="end"/>
      </w:r>
      <w:r w:rsidRPr="00E76BF7">
        <w:rPr>
          <w:rFonts w:eastAsia="Times New Roman" w:cs="Times New Roman"/>
          <w:b/>
          <w:bCs/>
          <w:i/>
          <w:iCs/>
          <w:color w:val="auto"/>
          <w:szCs w:val="24"/>
          <w:lang w:val="es-CO"/>
        </w:rPr>
        <w:t>. MEDIOS DE PAGO PARA EFECTOS DE LA ACEPTACIÓN DE COSTOS, DEDUCCIONES, PASIVOS E IMPUESTOS DESCONTABLES.</w:t>
      </w:r>
      <w:r w:rsidRPr="00E76BF7">
        <w:rPr>
          <w:rFonts w:eastAsia="Times New Roman" w:cs="Times New Roman"/>
          <w:i/>
          <w:iCs/>
          <w:color w:val="auto"/>
          <w:szCs w:val="24"/>
          <w:lang w:val="es-CO"/>
        </w:rPr>
        <w:t> &lt;Artículo modificado por el artículo 52 de la Ley 1739 de 2014. El nuevo texto es el siguiente&gt; Para efectos de su reconocimiento fiscal como costos, deducciones, pasivos o impuestos descontables, los pagos que efectúen los contribuyentes o responsables deberán realizarse mediante alguno de los siguientes medios de pago</w:t>
      </w:r>
      <w:r w:rsidRPr="00EC654C">
        <w:rPr>
          <w:rFonts w:eastAsia="Times New Roman" w:cs="Times New Roman"/>
          <w:b/>
          <w:i/>
          <w:iCs/>
          <w:color w:val="auto"/>
          <w:sz w:val="28"/>
          <w:szCs w:val="28"/>
          <w:highlight w:val="green"/>
          <w:lang w:val="es-CO"/>
        </w:rPr>
        <w:t>: Depósitos en cuentas bancarias</w:t>
      </w:r>
      <w:r w:rsidRPr="00E76BF7">
        <w:rPr>
          <w:rFonts w:eastAsia="Times New Roman" w:cs="Times New Roman"/>
          <w:i/>
          <w:iCs/>
          <w:color w:val="auto"/>
          <w:szCs w:val="24"/>
          <w:lang w:val="es-CO"/>
        </w:rPr>
        <w:t>, giros o transferencias bancarias, cheques girados al primer beneficiario, tarjetas de crédito, tarjetas débito u otro tipo de tarjetas o bonos que sirvan como medios de pago en la forma y condiciones que autorice el Gobierno Nacional.”</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i/>
          <w:iCs/>
          <w:color w:val="auto"/>
          <w:szCs w:val="24"/>
          <w:lang w:val="es-CO"/>
        </w:rPr>
        <w:t>De la anterior disposición normativa, ¿Cuál es el alcance del siguiente medio de pago: “Cheques girados al primer beneficiario”; es decir, aun cuando se gire el título valor a nombre del primer beneficiario, puede este a su vez endosarlo a favor de un tercero para su posterior cobro, o significa que debe el cheque contener la leyenda de “PÁGUESE ÚNICAMENTE AL PRIMER BENEFICIARIO”?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RESPUESTA: </w:t>
      </w:r>
      <w:r w:rsidRPr="00E76BF7">
        <w:rPr>
          <w:rFonts w:eastAsia="Times New Roman" w:cs="Times New Roman"/>
          <w:color w:val="auto"/>
          <w:szCs w:val="24"/>
          <w:lang w:val="es-CO"/>
        </w:rPr>
        <w:t>Sobre el particular esta Subdirección en el Oficio 007119 del 6 de marzo de 2015, indicó:</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 xml:space="preserve">“… Con lo anterior y en el punto de los cheques, el legislador obvió referirse a aquellos girados al portador ya que con ellos se cumpliría la finalidad perseguida cual es la del control de las operaciones, por eso estableció que deben ser aquellos girados al primer beneficiario lo cual puede armonizarse con lo establecido en el artículo 715 del Código de Comercio, de tal forma que se limite por lo mismo, su negociabilidad, la que frente a los títulos al portador no tendría efecto práctico alguno, en cuanto no habría </w:t>
      </w:r>
      <w:r w:rsidRPr="00E76BF7">
        <w:rPr>
          <w:rFonts w:eastAsia="Times New Roman" w:cs="Times New Roman"/>
          <w:i/>
          <w:iCs/>
          <w:color w:val="auto"/>
          <w:szCs w:val="24"/>
          <w:lang w:val="es-CO"/>
        </w:rPr>
        <w:lastRenderedPageBreak/>
        <w:t>posibilidad de establecer una distinción entre el beneficiario y el tenedor no siendo útil para el efecto fiscal previsto en la norma.</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Por ello resulta relevante el contenido de este artículo 715 del Código de Comercio, en cuanto señala en el inciso segundo que: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 Los cheques no negociables por la cláusula correspondiente o por disposición de la Ley, solo podrán cobrarse por conducto de un banco”</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Bien lo ha señalado la Superintendencia Financiera de Colombia mediante Circular 067 de 1996 </w:t>
      </w:r>
      <w:r w:rsidRPr="00E76BF7">
        <w:rPr>
          <w:rFonts w:eastAsia="Times New Roman" w:cs="Times New Roman"/>
          <w:b/>
          <w:bCs/>
          <w:i/>
          <w:iCs/>
          <w:color w:val="auto"/>
          <w:szCs w:val="24"/>
          <w:lang w:val="es-CO"/>
        </w:rPr>
        <w:t>“la función propia de la cláusula de no negociabilidad es la de impedir que un tercero diferente del beneficiario pueda legitimarse para exigir el pago del instrumento. Dicha función se satisface tanto cuando el pago del importe del título se hace directamente a la persona del beneficiario que presenta el cheque ante el banco librado, como cuando el mismo se calcula por conducto de un banco que lo cobra en nombre y por cuenta del beneficiario”</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En consecuencia, este Despacho reitera lo expresado en el Oficio No. 24531 del 14 de abril de 2014, en el sentido de que </w:t>
      </w:r>
      <w:r w:rsidRPr="00E76BF7">
        <w:rPr>
          <w:rFonts w:eastAsia="Times New Roman" w:cs="Times New Roman"/>
          <w:b/>
          <w:bCs/>
          <w:i/>
          <w:iCs/>
          <w:color w:val="auto"/>
          <w:szCs w:val="24"/>
          <w:lang w:val="es-CO"/>
        </w:rPr>
        <w:t>de conformidad con 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b/>
          <w:bCs/>
          <w:i/>
          <w:iCs/>
          <w:color w:val="auto"/>
          <w:szCs w:val="24"/>
          <w:u w:val="single"/>
          <w:lang w:val="es-CO"/>
        </w:rPr>
        <w:t>artículo 771-5</w:t>
      </w:r>
      <w:r w:rsidR="00E3398D">
        <w:rPr>
          <w:rFonts w:eastAsia="Times New Roman" w:cs="Times New Roman"/>
          <w:b/>
          <w:bCs/>
          <w:i/>
          <w:iCs/>
          <w:color w:val="auto"/>
          <w:szCs w:val="24"/>
          <w:u w:val="single"/>
          <w:lang w:val="es-CO"/>
        </w:rPr>
        <w:fldChar w:fldCharType="end"/>
      </w:r>
      <w:r w:rsidRPr="00E76BF7">
        <w:rPr>
          <w:rFonts w:eastAsia="Times New Roman" w:cs="Times New Roman"/>
          <w:b/>
          <w:bCs/>
          <w:i/>
          <w:iCs/>
          <w:color w:val="auto"/>
          <w:szCs w:val="24"/>
          <w:lang w:val="es-CO"/>
        </w:rPr>
        <w:t> del Estatuto Tributario y por ende únicamente para efectos fiscales, el giro de cheques al primer beneficiario “necesariamente implica la imposición de esta cláusula en el cheque mediante el cual se realice el pago, para efectos del reconocimiento fiscal como costos, pasivos o impuestos descontables” </w:t>
      </w:r>
      <w:r w:rsidRPr="00E76BF7">
        <w:rPr>
          <w:rFonts w:eastAsia="Times New Roman" w:cs="Times New Roman"/>
          <w:i/>
          <w:iCs/>
          <w:color w:val="auto"/>
          <w:szCs w:val="24"/>
          <w:lang w:val="es-CO"/>
        </w:rPr>
        <w:t>(negrilla fuera de texto).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2.</w:t>
      </w:r>
      <w:r w:rsidRPr="00E76BF7">
        <w:rPr>
          <w:rFonts w:eastAsia="Times New Roman" w:cs="Times New Roman"/>
          <w:color w:val="auto"/>
          <w:szCs w:val="24"/>
          <w:lang w:val="es-CO"/>
        </w:rPr>
        <w:t> Cuando una persona natural o jurídica actúe a la vez como cliente y proveedor de un tercero, </w:t>
      </w:r>
      <w:r w:rsidRPr="00E76BF7">
        <w:rPr>
          <w:rFonts w:eastAsia="Times New Roman" w:cs="Times New Roman"/>
          <w:b/>
          <w:bCs/>
          <w:color w:val="auto"/>
          <w:szCs w:val="24"/>
          <w:lang w:val="es-CO"/>
        </w:rPr>
        <w:t>¿puede llevarse a cabo la compensación de deudas?, </w:t>
      </w:r>
      <w:r w:rsidRPr="00E76BF7">
        <w:rPr>
          <w:rFonts w:eastAsia="Times New Roman" w:cs="Times New Roman"/>
          <w:color w:val="auto"/>
          <w:szCs w:val="24"/>
          <w:lang w:val="es-CO"/>
        </w:rPr>
        <w:t>es decir, cruzar obligaciones de cuentas por cobrar como cliente con las cuentas por pagar como proveedor, sin hacer uso de los medios de pago de que trata 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del Estatuto Tributario, en dicho evento </w:t>
      </w:r>
      <w:r w:rsidRPr="00E76BF7">
        <w:rPr>
          <w:rFonts w:eastAsia="Times New Roman" w:cs="Times New Roman"/>
          <w:b/>
          <w:bCs/>
          <w:color w:val="auto"/>
          <w:szCs w:val="24"/>
          <w:lang w:val="es-CO"/>
        </w:rPr>
        <w:t>¿son aceptables fiscalmente los costos, deducciones, pasivos e impuestos descontables?</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RESPUESTA: </w:t>
      </w:r>
      <w:r w:rsidRPr="00E76BF7">
        <w:rPr>
          <w:rFonts w:eastAsia="Times New Roman" w:cs="Times New Roman"/>
          <w:color w:val="auto"/>
          <w:szCs w:val="24"/>
          <w:lang w:val="es-CO"/>
        </w:rPr>
        <w:t>En el caso hipotético señalado por el consultante en donde una persona natural o jurídica actúa a la vez como cliente y proveedor es posible que sea llevada a cabo la compensación.</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Ahora bien, 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del E.T. al referirse a los modos de extinción de las obligaciones distintos al pago, señaló:</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b/>
          <w:bCs/>
          <w:i/>
          <w:iCs/>
          <w:color w:val="auto"/>
          <w:szCs w:val="24"/>
          <w:u w:val="single"/>
          <w:lang w:val="es-CO"/>
        </w:rPr>
        <w:t>ARTÍCULO 771-5</w:t>
      </w:r>
      <w:r w:rsidR="00E3398D">
        <w:rPr>
          <w:rFonts w:eastAsia="Times New Roman" w:cs="Times New Roman"/>
          <w:b/>
          <w:bCs/>
          <w:i/>
          <w:iCs/>
          <w:color w:val="auto"/>
          <w:szCs w:val="24"/>
          <w:u w:val="single"/>
          <w:lang w:val="es-CO"/>
        </w:rPr>
        <w:fldChar w:fldCharType="end"/>
      </w:r>
      <w:r w:rsidRPr="00E76BF7">
        <w:rPr>
          <w:rFonts w:eastAsia="Times New Roman" w:cs="Times New Roman"/>
          <w:b/>
          <w:bCs/>
          <w:i/>
          <w:iCs/>
          <w:color w:val="auto"/>
          <w:szCs w:val="24"/>
          <w:lang w:val="es-CO"/>
        </w:rPr>
        <w:t>. MEDIOS DE PAGO PARA EFECTOS DE LA ACEPTACIÓN DE COSTOS, DEDUCCIONES, PASIVOS E IMPUESTOS DESCONTABLES. </w:t>
      </w:r>
      <w:r w:rsidRPr="00E76BF7">
        <w:rPr>
          <w:rFonts w:eastAsia="Times New Roman" w:cs="Times New Roman"/>
          <w:i/>
          <w:iCs/>
          <w:color w:val="auto"/>
          <w:szCs w:val="24"/>
          <w:lang w:val="es-CO"/>
        </w:rPr>
        <w:t>&lt;Artículo modificado por el artículo 52 de la Ley 1739 de 2014. El nuevo texto es el siguiente:&gt; Para efectos de su reconocimiento fiscal como costos, deducciones, pasivos o impuestos descontables, los pagos que efectúen los contribuyentes o responsables </w:t>
      </w:r>
      <w:r w:rsidRPr="00E76BF7">
        <w:rPr>
          <w:rFonts w:eastAsia="Times New Roman" w:cs="Times New Roman"/>
          <w:b/>
          <w:bCs/>
          <w:i/>
          <w:iCs/>
          <w:color w:val="auto"/>
          <w:szCs w:val="24"/>
          <w:lang w:val="es-CO"/>
        </w:rPr>
        <w:t>deberán realizarse mediante alguno de los siguientes medios de pago: Depósitos en cuentas bancarias, giros o transferencias bancarias, cheques girados al primer beneficiario, tarjetas de crédito, tarjetas débito u otro tipo de tarjetas o bonos </w:t>
      </w:r>
      <w:r w:rsidRPr="00E76BF7">
        <w:rPr>
          <w:rFonts w:eastAsia="Times New Roman" w:cs="Times New Roman"/>
          <w:i/>
          <w:iCs/>
          <w:color w:val="auto"/>
          <w:szCs w:val="24"/>
          <w:lang w:val="es-CO"/>
        </w:rPr>
        <w:t>que sirvan como medios de pago en la forma y condiciones que autorice el Gobierno Nacional.</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Lo dispuesto en el presente artículo no impide el reconocimiento fiscal de los pagos en especie ni la utilización de los demás modos de extinción de las obligaciones distintos al pago, previstos en el artículo 1625 del Código Civil y demás normas concordantes.” </w:t>
      </w:r>
      <w:r w:rsidRPr="00E76BF7">
        <w:rPr>
          <w:rFonts w:eastAsia="Times New Roman" w:cs="Times New Roman"/>
          <w:color w:val="auto"/>
          <w:szCs w:val="24"/>
          <w:lang w:val="es-CO"/>
        </w:rPr>
        <w:t>(negrilla fuera de texto).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A su vez, el artículo 1625 del Código Civil establece: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“ARTÍCULO 1625. &lt;MODOS DE EXTINCIÓN&gt;. </w:t>
      </w:r>
      <w:r w:rsidRPr="00E76BF7">
        <w:rPr>
          <w:rFonts w:eastAsia="Times New Roman" w:cs="Times New Roman"/>
          <w:i/>
          <w:iCs/>
          <w:color w:val="auto"/>
          <w:szCs w:val="24"/>
          <w:lang w:val="es-CO"/>
        </w:rPr>
        <w:t>Toda obligación puede extinguirse por una convención en que las partes interesadas, siendo capaces de disponer libremente de lo suyo, consientan en darla por nula.</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lastRenderedPageBreak/>
        <w:t>Las obligaciones se extinguen además en todo o en parte: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1o.) Por la solución o pago efectivo.</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2o.) Por la novación.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3o.) Por la transacción.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4o.) Por la remisión.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5o.) Por la compensación.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6o.) Por la confusión.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7o.) Por la pérdida de la cosa que se debe.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8o.) Por la declaración de nulidad o por la rescisión.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9o.) Por el evento de la condición resolutoria.</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10.) Por la prescripción …” (negrilla fuera de texto).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Así las cosas, si bien es cierto el inciso primero del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w:t>
      </w:r>
      <w:r w:rsidRPr="0023204C">
        <w:rPr>
          <w:rFonts w:eastAsia="Times New Roman" w:cs="Times New Roman"/>
          <w:color w:val="auto"/>
          <w:szCs w:val="24"/>
          <w:highlight w:val="green"/>
          <w:lang w:val="es-CO"/>
        </w:rPr>
        <w:t>establece que los pagos </w:t>
      </w:r>
      <w:r w:rsidRPr="0023204C">
        <w:rPr>
          <w:rFonts w:eastAsia="Times New Roman" w:cs="Times New Roman"/>
          <w:b/>
          <w:bCs/>
          <w:color w:val="auto"/>
          <w:szCs w:val="24"/>
          <w:highlight w:val="green"/>
          <w:lang w:val="es-CO"/>
        </w:rPr>
        <w:t>deberán</w:t>
      </w:r>
      <w:r w:rsidRPr="0023204C">
        <w:rPr>
          <w:rFonts w:eastAsia="Times New Roman" w:cs="Times New Roman"/>
          <w:color w:val="auto"/>
          <w:szCs w:val="24"/>
          <w:highlight w:val="green"/>
          <w:lang w:val="es-CO"/>
        </w:rPr>
        <w:t xml:space="preserve"> realizarse mediante </w:t>
      </w:r>
      <w:r w:rsidRPr="0023204C">
        <w:rPr>
          <w:rFonts w:eastAsia="Times New Roman" w:cs="Times New Roman"/>
          <w:b/>
          <w:color w:val="auto"/>
          <w:sz w:val="28"/>
          <w:szCs w:val="28"/>
          <w:highlight w:val="green"/>
          <w:lang w:val="es-CO"/>
        </w:rPr>
        <w:t>depósito en cuentas bancarias</w:t>
      </w:r>
      <w:r w:rsidRPr="0023204C">
        <w:rPr>
          <w:rFonts w:eastAsia="Times New Roman" w:cs="Times New Roman"/>
          <w:color w:val="auto"/>
          <w:szCs w:val="24"/>
          <w:highlight w:val="green"/>
          <w:lang w:val="es-CO"/>
        </w:rPr>
        <w:t>,</w:t>
      </w:r>
      <w:r w:rsidRPr="00E76BF7">
        <w:rPr>
          <w:rFonts w:eastAsia="Times New Roman" w:cs="Times New Roman"/>
          <w:color w:val="auto"/>
          <w:szCs w:val="24"/>
          <w:lang w:val="es-CO"/>
        </w:rPr>
        <w:t xml:space="preserve"> </w:t>
      </w:r>
      <w:r w:rsidRPr="0023204C">
        <w:rPr>
          <w:rFonts w:eastAsia="Times New Roman" w:cs="Times New Roman"/>
          <w:color w:val="auto"/>
          <w:szCs w:val="24"/>
          <w:highlight w:val="yellow"/>
          <w:lang w:val="es-CO"/>
        </w:rPr>
        <w:t>giros o transferencias bancarias, cheques girados al primer beneficiario, tar</w:t>
      </w:r>
      <w:r w:rsidR="0023204C">
        <w:rPr>
          <w:rFonts w:eastAsia="Times New Roman" w:cs="Times New Roman"/>
          <w:color w:val="auto"/>
          <w:szCs w:val="24"/>
          <w:highlight w:val="yellow"/>
          <w:lang w:val="es-CO"/>
        </w:rPr>
        <w:t xml:space="preserve">jetas de crédito, tarjetas </w:t>
      </w:r>
      <w:proofErr w:type="spellStart"/>
      <w:r w:rsidR="0023204C">
        <w:rPr>
          <w:rFonts w:eastAsia="Times New Roman" w:cs="Times New Roman"/>
          <w:color w:val="auto"/>
          <w:szCs w:val="24"/>
          <w:highlight w:val="yellow"/>
          <w:lang w:val="es-CO"/>
        </w:rPr>
        <w:t>debit</w:t>
      </w:r>
      <w:r w:rsidRPr="0023204C">
        <w:rPr>
          <w:rFonts w:eastAsia="Times New Roman" w:cs="Times New Roman"/>
          <w:color w:val="auto"/>
          <w:szCs w:val="24"/>
          <w:highlight w:val="yellow"/>
          <w:lang w:val="es-CO"/>
        </w:rPr>
        <w:t>o</w:t>
      </w:r>
      <w:proofErr w:type="spellEnd"/>
      <w:r w:rsidRPr="0023204C">
        <w:rPr>
          <w:rFonts w:eastAsia="Times New Roman" w:cs="Times New Roman"/>
          <w:color w:val="auto"/>
          <w:szCs w:val="24"/>
          <w:highlight w:val="yellow"/>
          <w:lang w:val="es-CO"/>
        </w:rPr>
        <w:t xml:space="preserve"> u otro tipo de tarjetas o bonos que sirvan como medios de pago para efectos de su reconocimiento fiscal como costos, deducciones, pasivos o impuestos descontables, también lo es que en el inciso segundo del artículo citado precisa que lo allí dispuesto </w:t>
      </w:r>
      <w:r w:rsidRPr="0023204C">
        <w:rPr>
          <w:rFonts w:eastAsia="Times New Roman" w:cs="Times New Roman"/>
          <w:b/>
          <w:bCs/>
          <w:i/>
          <w:iCs/>
          <w:color w:val="auto"/>
          <w:szCs w:val="24"/>
          <w:highlight w:val="yellow"/>
          <w:lang w:val="es-CO"/>
        </w:rPr>
        <w:t>“</w:t>
      </w:r>
      <w:r w:rsidRPr="0023204C">
        <w:rPr>
          <w:rFonts w:eastAsia="Times New Roman" w:cs="Times New Roman"/>
          <w:b/>
          <w:bCs/>
          <w:i/>
          <w:iCs/>
          <w:color w:val="auto"/>
          <w:szCs w:val="24"/>
          <w:highlight w:val="yellow"/>
          <w:u w:val="single"/>
          <w:lang w:val="es-CO"/>
        </w:rPr>
        <w:t>no impide el reconocimiento fiscal de los pagos</w:t>
      </w:r>
      <w:r w:rsidRPr="0023204C">
        <w:rPr>
          <w:rFonts w:eastAsia="Times New Roman" w:cs="Times New Roman"/>
          <w:b/>
          <w:bCs/>
          <w:i/>
          <w:iCs/>
          <w:color w:val="auto"/>
          <w:szCs w:val="24"/>
          <w:highlight w:val="yellow"/>
          <w:lang w:val="es-CO"/>
        </w:rPr>
        <w:t> en especie ni la utilización de los demás modos de extinción de las obligaciones distintos al pago, previstos en el artículo 1625 del Código Civil”, </w:t>
      </w:r>
      <w:r w:rsidRPr="0023204C">
        <w:rPr>
          <w:rFonts w:eastAsia="Times New Roman" w:cs="Times New Roman"/>
          <w:color w:val="auto"/>
          <w:szCs w:val="24"/>
          <w:highlight w:val="yellow"/>
          <w:lang w:val="es-CO"/>
        </w:rPr>
        <w:t>lo que conlleva a concluir que la compensación al ser uno de los modos de extinción de las obligaciones establecidos en el artículo 1625 del Código Civil es susceptible de ser reconocido fiscalmente como pago, y por ende, se deberá analizar en cada caso particular si cumple con las condiciones para ser tenido como costo, deducción o pasivo.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3.</w:t>
      </w:r>
      <w:r w:rsidRPr="00E76BF7">
        <w:rPr>
          <w:rFonts w:eastAsia="Times New Roman" w:cs="Times New Roman"/>
          <w:color w:val="auto"/>
          <w:szCs w:val="24"/>
          <w:lang w:val="es-CO"/>
        </w:rPr>
        <w:t> Si durante el primer año (2017) se tiene el reconocimiento de costos, deducciones, pasivos e impuestos descontables bajo el principio de “devengo” (</w:t>
      </w:r>
      <w:r w:rsidR="00E3398D">
        <w:fldChar w:fldCharType="begin"/>
      </w:r>
      <w:r w:rsidR="00E3398D" w:rsidRPr="00E3398D">
        <w:rPr>
          <w:lang w:val="es-CO"/>
        </w:rPr>
        <w:instrText xml:space="preserve"> HYPERLINK "https://www.ceta.org.co/html/vista_de_un_articulo.asp?Norma=10</w:instrText>
      </w:r>
      <w:r w:rsidR="00E3398D" w:rsidRPr="00E3398D">
        <w:rPr>
          <w:lang w:val="es-CO"/>
        </w:rPr>
        <w:instrText xml:space="preserve">0" \o "Estatuto Tributario CETA" </w:instrText>
      </w:r>
      <w:r w:rsidR="00E3398D">
        <w:fldChar w:fldCharType="separate"/>
      </w:r>
      <w:r w:rsidRPr="00E76BF7">
        <w:rPr>
          <w:rFonts w:eastAsia="Times New Roman" w:cs="Times New Roman"/>
          <w:color w:val="auto"/>
          <w:szCs w:val="24"/>
          <w:u w:val="single"/>
          <w:lang w:val="es-CO"/>
        </w:rPr>
        <w:t>artículo 59</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E.T.) y en el segundo año (2018) con posterioridad a la fecha de presentación de la declaración de renta del año 2017 (abril – mayo para el caso de sociedades) se realizan pagos en efectivo cancelando pasivos del año anterior que individualmente superen las 100 U.V.T. y los cuales dieron origen a costos, deducciones e impuestos descontables en el año 2017 y considerando que ya ha sido presentada la declaración de renta </w:t>
      </w:r>
      <w:r w:rsidRPr="00E76BF7">
        <w:rPr>
          <w:rFonts w:eastAsia="Times New Roman" w:cs="Times New Roman"/>
          <w:b/>
          <w:bCs/>
          <w:color w:val="auto"/>
          <w:szCs w:val="24"/>
          <w:lang w:val="es-CO"/>
        </w:rPr>
        <w:t>¿Cómo se da aplicación al </w:t>
      </w:r>
      <w:r w:rsidR="00E3398D">
        <w:fldChar w:fldCharType="begin"/>
      </w:r>
      <w:r w:rsidR="00E3398D" w:rsidRPr="00E3398D">
        <w:rPr>
          <w:lang w:val="es-CO"/>
        </w:rPr>
        <w:instrText xml:space="preserve"> HYPERLINK "ht</w:instrText>
      </w:r>
      <w:r w:rsidR="00E3398D" w:rsidRPr="00E3398D">
        <w:rPr>
          <w:lang w:val="es-CO"/>
        </w:rPr>
        <w:instrText xml:space="preserve">tps://www.ceta.org.co/html/vista_de_un_articulo.asp?Norma=26863" \o "Estatuto Tributario CETA" </w:instrText>
      </w:r>
      <w:r w:rsidR="00E3398D">
        <w:fldChar w:fldCharType="separate"/>
      </w:r>
      <w:r w:rsidRPr="00E76BF7">
        <w:rPr>
          <w:rFonts w:eastAsia="Times New Roman" w:cs="Times New Roman"/>
          <w:b/>
          <w:bCs/>
          <w:color w:val="auto"/>
          <w:szCs w:val="24"/>
          <w:u w:val="single"/>
          <w:lang w:val="es-CO"/>
        </w:rPr>
        <w:t>artículo 771-5</w:t>
      </w:r>
      <w:r w:rsidR="00E3398D">
        <w:rPr>
          <w:rFonts w:eastAsia="Times New Roman" w:cs="Times New Roman"/>
          <w:b/>
          <w:bCs/>
          <w:color w:val="auto"/>
          <w:szCs w:val="24"/>
          <w:u w:val="single"/>
          <w:lang w:val="es-CO"/>
        </w:rPr>
        <w:fldChar w:fldCharType="end"/>
      </w:r>
      <w:r w:rsidRPr="00E76BF7">
        <w:rPr>
          <w:rFonts w:eastAsia="Times New Roman" w:cs="Times New Roman"/>
          <w:b/>
          <w:bCs/>
          <w:color w:val="auto"/>
          <w:szCs w:val="24"/>
          <w:lang w:val="es-CO"/>
        </w:rPr>
        <w:t> del Estatuto Tributario en estos eventos? ¿En qué año y cómo se desconocen los costos, deducciones, pasivos e impuestos descontables? ¿Debe corregirse la Declaración de Impuesto sobre la Renta del año 2017, siempre y cuando no se paguen en el año 2018 a través de un medio de pago válido para efectos fiscales?</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RESPUESTA: </w:t>
      </w:r>
      <w:r w:rsidRPr="00E76BF7">
        <w:rPr>
          <w:rFonts w:eastAsia="Times New Roman" w:cs="Times New Roman"/>
          <w:color w:val="auto"/>
          <w:szCs w:val="24"/>
          <w:lang w:val="es-CO"/>
        </w:rPr>
        <w:t>Frente al presente interrogante, resulta pertinente precisar que </w:t>
      </w:r>
      <w:r w:rsidRPr="00E76BF7">
        <w:rPr>
          <w:rFonts w:eastAsia="Times New Roman" w:cs="Times New Roman"/>
          <w:b/>
          <w:bCs/>
          <w:color w:val="auto"/>
          <w:szCs w:val="24"/>
          <w:lang w:val="es-CO"/>
        </w:rPr>
        <w:t>las facultades de esta dependencia se concretan en la interpretación de las normas tributarias de carácter nacional, aduaneras y cambiarias, </w:t>
      </w:r>
      <w:r w:rsidRPr="00E76BF7">
        <w:rPr>
          <w:rFonts w:eastAsia="Times New Roman" w:cs="Times New Roman"/>
          <w:color w:val="auto"/>
          <w:szCs w:val="24"/>
          <w:lang w:val="es-CO"/>
        </w:rPr>
        <w:t>razón por la cual </w:t>
      </w:r>
      <w:r w:rsidRPr="00E76BF7">
        <w:rPr>
          <w:rFonts w:eastAsia="Times New Roman" w:cs="Times New Roman"/>
          <w:b/>
          <w:bCs/>
          <w:color w:val="auto"/>
          <w:szCs w:val="24"/>
          <w:lang w:val="es-CO"/>
        </w:rPr>
        <w:t>no corresponde en ejercicio de dichas funciones prestar asesoría específica para atender casos particulares de los contribuyentes por medio de consultas que realicen profesionales en representación de firmas que se dedican a la actividad de revisoría y asesoría tributaria.</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Sobre la aplicación de la ley en el tiempo, en este caso, del </w:t>
      </w:r>
      <w:r w:rsidR="00E3398D">
        <w:fldChar w:fldCharType="begin"/>
      </w:r>
      <w:r w:rsidR="00E3398D" w:rsidRPr="00E3398D">
        <w:rPr>
          <w:lang w:val="es-CO"/>
        </w:rPr>
        <w:instrText xml:space="preserve"> HYPERLINK "https://www.c</w:instrText>
      </w:r>
      <w:r w:rsidR="00E3398D" w:rsidRPr="00E3398D">
        <w:rPr>
          <w:lang w:val="es-CO"/>
        </w:rPr>
        <w:instrText xml:space="preserve">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del Estatuto Tributario, este despacho en Oficio 029787 del 2 de noviembre de 2017, expresó:</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“El artículo 307 de la Ley 1819 de diciembre 29 de 2016 prescribe: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“Artículo 307. Modifíquese los parágrafos 1º, 2º y el parágrafo transitorio, y adiciónense los parágrafos 3º y 4º al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b/>
          <w:bCs/>
          <w:i/>
          <w:iCs/>
          <w:color w:val="auto"/>
          <w:szCs w:val="24"/>
          <w:u w:val="single"/>
          <w:lang w:val="es-CO"/>
        </w:rPr>
        <w:t>artículo 771-5</w:t>
      </w:r>
      <w:r w:rsidR="00E3398D">
        <w:rPr>
          <w:rFonts w:eastAsia="Times New Roman" w:cs="Times New Roman"/>
          <w:b/>
          <w:bCs/>
          <w:i/>
          <w:iCs/>
          <w:color w:val="auto"/>
          <w:szCs w:val="24"/>
          <w:u w:val="single"/>
          <w:lang w:val="es-CO"/>
        </w:rPr>
        <w:fldChar w:fldCharType="end"/>
      </w:r>
      <w:r w:rsidRPr="00E76BF7">
        <w:rPr>
          <w:rFonts w:eastAsia="Times New Roman" w:cs="Times New Roman"/>
          <w:b/>
          <w:bCs/>
          <w:i/>
          <w:iCs/>
          <w:color w:val="auto"/>
          <w:szCs w:val="24"/>
          <w:lang w:val="es-CO"/>
        </w:rPr>
        <w:t> del Estatuto Tributario los cuales quedarán así:</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Parágrafo 1. Podrán tener reconocimiento fiscal como costos, deducciones, pasivos o impuestos descontables, los pagos en efectivo que efectúen los contribuyentes o responsables, </w:t>
      </w:r>
      <w:r w:rsidRPr="00E76BF7">
        <w:rPr>
          <w:rFonts w:eastAsia="Times New Roman" w:cs="Times New Roman"/>
          <w:i/>
          <w:iCs/>
          <w:color w:val="auto"/>
          <w:szCs w:val="24"/>
          <w:lang w:val="es-CO"/>
        </w:rPr>
        <w:t>independientemente del número de pagos que se realicen durante el año, así:</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lastRenderedPageBreak/>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1. En el año 2018, el menor valor entre: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a) El ochenta y cinco por ciento (85%) de lo pagado, que en todo caso no podrá superar de cien mil (100.000) UVT, y</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b) El cincuenta por ciento (50%) de los costos y deducciones totales</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Parágrafo transitorio. </w:t>
      </w:r>
      <w:r w:rsidRPr="00E76BF7">
        <w:rPr>
          <w:rFonts w:eastAsia="Times New Roman" w:cs="Times New Roman"/>
          <w:b/>
          <w:bCs/>
          <w:i/>
          <w:iCs/>
          <w:color w:val="auto"/>
          <w:szCs w:val="24"/>
          <w:u w:val="single"/>
          <w:lang w:val="es-CO"/>
        </w:rPr>
        <w:t>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r w:rsidRPr="00E76BF7">
        <w:rPr>
          <w:rFonts w:eastAsia="Times New Roman" w:cs="Times New Roman"/>
          <w:b/>
          <w:bCs/>
          <w:i/>
          <w:iCs/>
          <w:color w:val="auto"/>
          <w:szCs w:val="24"/>
          <w:lang w:val="es-CO"/>
        </w:rPr>
        <w:t>”. </w:t>
      </w:r>
      <w:r w:rsidRPr="00E76BF7">
        <w:rPr>
          <w:rFonts w:eastAsia="Times New Roman" w:cs="Times New Roman"/>
          <w:i/>
          <w:iCs/>
          <w:color w:val="auto"/>
          <w:szCs w:val="24"/>
          <w:lang w:val="es-CO"/>
        </w:rPr>
        <w:t>(Subrayado fuera del texto)</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i/>
          <w:iCs/>
          <w:color w:val="auto"/>
          <w:szCs w:val="24"/>
          <w:lang w:val="es-CO"/>
        </w:rPr>
        <w:t>De acuerdo con lo anterior, el artículo 307 rige a partir del año gravable 2018, por lo que los medios de pago en efectivo que se efectúen a partir de esta fecha, podrán tener reconocimiento fiscal como costos, pasivos o impuestos descontables en los porcentajes y conceptos allí señalados, de acuerdo con la lectura del </w:t>
      </w:r>
      <w:r w:rsidR="00E3398D">
        <w:fldChar w:fldCharType="begin"/>
      </w:r>
      <w:r w:rsidR="00E3398D" w:rsidRPr="00E3398D">
        <w:rPr>
          <w:lang w:val="es-CO"/>
        </w:rPr>
        <w:instrText xml:space="preserve"> HYPERLINK "ht</w:instrText>
      </w:r>
      <w:r w:rsidR="00E3398D" w:rsidRPr="00E3398D">
        <w:rPr>
          <w:lang w:val="es-CO"/>
        </w:rPr>
        <w:instrText xml:space="preserve">tps://www.ceta.org.co/html/vista_de_un_articulo.asp?Norma=26863" \o "Estatuto Tributario CETA" </w:instrText>
      </w:r>
      <w:r w:rsidR="00E3398D">
        <w:fldChar w:fldCharType="separate"/>
      </w:r>
      <w:r w:rsidRPr="00E76BF7">
        <w:rPr>
          <w:rFonts w:eastAsia="Times New Roman" w:cs="Times New Roman"/>
          <w:b/>
          <w:bCs/>
          <w:i/>
          <w:iCs/>
          <w:color w:val="auto"/>
          <w:szCs w:val="24"/>
          <w:u w:val="single"/>
          <w:lang w:val="es-CO"/>
        </w:rPr>
        <w:t>artículo 771-5</w:t>
      </w:r>
      <w:r w:rsidR="00E3398D">
        <w:rPr>
          <w:rFonts w:eastAsia="Times New Roman" w:cs="Times New Roman"/>
          <w:b/>
          <w:bCs/>
          <w:i/>
          <w:iCs/>
          <w:color w:val="auto"/>
          <w:szCs w:val="24"/>
          <w:u w:val="single"/>
          <w:lang w:val="es-CO"/>
        </w:rPr>
        <w:fldChar w:fldCharType="end"/>
      </w:r>
      <w:r w:rsidRPr="00E76BF7">
        <w:rPr>
          <w:rFonts w:eastAsia="Times New Roman" w:cs="Times New Roman"/>
          <w:b/>
          <w:bCs/>
          <w:i/>
          <w:iCs/>
          <w:color w:val="auto"/>
          <w:szCs w:val="24"/>
          <w:lang w:val="es-CO"/>
        </w:rPr>
        <w:t>del Estatuto Tributario.</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i/>
          <w:iCs/>
          <w:color w:val="auto"/>
          <w:szCs w:val="24"/>
          <w:lang w:val="es-CO"/>
        </w:rPr>
        <w:t>Ahora bien, </w:t>
      </w:r>
      <w:r w:rsidRPr="00E76BF7">
        <w:rPr>
          <w:rFonts w:eastAsia="Times New Roman" w:cs="Times New Roman"/>
          <w:b/>
          <w:bCs/>
          <w:i/>
          <w:iCs/>
          <w:color w:val="auto"/>
          <w:szCs w:val="24"/>
          <w:lang w:val="es-CO"/>
        </w:rPr>
        <w:t>su parágrafo transitorio regula los eventos de años gravables anteriores y año gravable 2017 y, le otorga un mayor reconocimiento fiscal a los contribuyentes que realicen los pagos en efectivo dentro del período establecido en la norma …” </w:t>
      </w:r>
      <w:r w:rsidRPr="00E76BF7">
        <w:rPr>
          <w:rFonts w:eastAsia="Times New Roman" w:cs="Times New Roman"/>
          <w:i/>
          <w:iCs/>
          <w:color w:val="auto"/>
          <w:szCs w:val="24"/>
          <w:lang w:val="es-CO"/>
        </w:rPr>
        <w:t>(negrilla fuera de texto).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Para efectos de la aplicación del </w:t>
      </w:r>
      <w:r w:rsidR="00E3398D">
        <w:fldChar w:fldCharType="begin"/>
      </w:r>
      <w:r w:rsidR="00E3398D" w:rsidRPr="00E3398D">
        <w:rPr>
          <w:lang w:val="es-CO"/>
        </w:rPr>
        <w:instrText xml:space="preserve"> HYPERLINK "https://www.ceta.org.co/html/vista_de_un_articu</w:instrText>
      </w:r>
      <w:r w:rsidR="00E3398D" w:rsidRPr="00E3398D">
        <w:rPr>
          <w:lang w:val="es-CO"/>
        </w:rPr>
        <w:instrText xml:space="preserve">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debe precisarse que los costos, deducciones, pasivos o impuestos descontables reconocidos como “devengos” a 31 de diciembre de 2017 y que sean solicitados a partir de la declaración del impuesto sobre la renta del año 2018, deben cumplir con las reglas establecidas en el artículo mencionado, en tanto, dicha norma va dirigida a reconocer los </w:t>
      </w:r>
      <w:r w:rsidRPr="00E76BF7">
        <w:rPr>
          <w:rFonts w:eastAsia="Times New Roman" w:cs="Times New Roman"/>
          <w:b/>
          <w:bCs/>
          <w:color w:val="auto"/>
          <w:szCs w:val="24"/>
          <w:lang w:val="es-CO"/>
        </w:rPr>
        <w:t>pagos efectivamente realizados, </w:t>
      </w:r>
      <w:r w:rsidRPr="00E76BF7">
        <w:rPr>
          <w:rFonts w:eastAsia="Times New Roman" w:cs="Times New Roman"/>
          <w:color w:val="auto"/>
          <w:szCs w:val="24"/>
          <w:lang w:val="es-CO"/>
        </w:rPr>
        <w:t>lo cual es diferente al principio de devengo.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Finalmente, en lo referente a si debe corregirse la declaración de renta del año 2017, será el contribuyente de acuerdo a las circunstancias fácticas quien deberá determinar y establecer si hay en su caso en particular hay lugar a corregir la declaración tributaria presentada.</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3398D" w:rsidRDefault="00E76BF7" w:rsidP="00E76BF7">
      <w:pPr>
        <w:spacing w:line="240" w:lineRule="auto"/>
        <w:rPr>
          <w:rFonts w:eastAsia="Times New Roman" w:cs="Times New Roman"/>
          <w:color w:val="auto"/>
          <w:sz w:val="32"/>
          <w:szCs w:val="32"/>
          <w:highlight w:val="green"/>
          <w:lang w:val="es-CO"/>
        </w:rPr>
      </w:pPr>
      <w:r w:rsidRPr="00E3398D">
        <w:rPr>
          <w:rFonts w:eastAsia="Times New Roman" w:cs="Times New Roman"/>
          <w:b/>
          <w:bCs/>
          <w:color w:val="auto"/>
          <w:sz w:val="32"/>
          <w:szCs w:val="32"/>
          <w:highlight w:val="green"/>
          <w:lang w:val="es-CO"/>
        </w:rPr>
        <w:t>4.</w:t>
      </w:r>
      <w:r w:rsidRPr="00E3398D">
        <w:rPr>
          <w:rFonts w:eastAsia="Times New Roman" w:cs="Times New Roman"/>
          <w:color w:val="auto"/>
          <w:sz w:val="32"/>
          <w:szCs w:val="32"/>
          <w:highlight w:val="green"/>
          <w:lang w:val="es-CO"/>
        </w:rPr>
        <w:t> Si el beneficiario de un pago autoriza por escrito a su cliente, para que a través de los diferentes medios de pago de que trata el </w:t>
      </w:r>
      <w:r w:rsidR="00E3398D" w:rsidRPr="00E3398D">
        <w:rPr>
          <w:sz w:val="32"/>
          <w:szCs w:val="32"/>
        </w:rPr>
        <w:fldChar w:fldCharType="begin"/>
      </w:r>
      <w:r w:rsidR="00E3398D" w:rsidRPr="00E3398D">
        <w:rPr>
          <w:sz w:val="32"/>
          <w:szCs w:val="32"/>
          <w:lang w:val="es-CO"/>
        </w:rPr>
        <w:instrText xml:space="preserve"> HYPERLINK "https://www.ceta.org.co/html/vista_de_un_articulo.asp?Norma=26863" \o "Estatuto Tributario CETA" </w:instrText>
      </w:r>
      <w:r w:rsidR="00E3398D" w:rsidRPr="00E3398D">
        <w:rPr>
          <w:sz w:val="32"/>
          <w:szCs w:val="32"/>
        </w:rPr>
        <w:fldChar w:fldCharType="separate"/>
      </w:r>
      <w:r w:rsidRPr="00E3398D">
        <w:rPr>
          <w:rFonts w:eastAsia="Times New Roman" w:cs="Times New Roman"/>
          <w:color w:val="auto"/>
          <w:sz w:val="32"/>
          <w:szCs w:val="32"/>
          <w:highlight w:val="green"/>
          <w:u w:val="single"/>
          <w:lang w:val="es-CO"/>
        </w:rPr>
        <w:t>artículo 771-5</w:t>
      </w:r>
      <w:r w:rsidR="00E3398D" w:rsidRPr="00E3398D">
        <w:rPr>
          <w:rFonts w:eastAsia="Times New Roman" w:cs="Times New Roman"/>
          <w:color w:val="auto"/>
          <w:sz w:val="32"/>
          <w:szCs w:val="32"/>
          <w:highlight w:val="green"/>
          <w:u w:val="single"/>
          <w:lang w:val="es-CO"/>
        </w:rPr>
        <w:fldChar w:fldCharType="end"/>
      </w:r>
      <w:r w:rsidRPr="00E3398D">
        <w:rPr>
          <w:rFonts w:eastAsia="Times New Roman" w:cs="Times New Roman"/>
          <w:color w:val="auto"/>
          <w:sz w:val="32"/>
          <w:szCs w:val="32"/>
          <w:highlight w:val="green"/>
          <w:lang w:val="es-CO"/>
        </w:rPr>
        <w:t> ibídem realicen el pago a un tercero que es proveedor del beneficiario, </w:t>
      </w:r>
      <w:r w:rsidRPr="00E3398D">
        <w:rPr>
          <w:rFonts w:eastAsia="Times New Roman" w:cs="Times New Roman"/>
          <w:b/>
          <w:bCs/>
          <w:color w:val="auto"/>
          <w:sz w:val="32"/>
          <w:szCs w:val="32"/>
          <w:highlight w:val="green"/>
          <w:lang w:val="es-CO"/>
        </w:rPr>
        <w:t>¿Es aceptable fiscalmente el costo, la deducción, el pasivo e impuestos descontables para quien realiza el pago?</w:t>
      </w:r>
    </w:p>
    <w:p w:rsidR="00E76BF7" w:rsidRPr="00E3398D" w:rsidRDefault="00E76BF7" w:rsidP="00E76BF7">
      <w:pPr>
        <w:spacing w:line="240" w:lineRule="auto"/>
        <w:rPr>
          <w:rFonts w:eastAsia="Times New Roman" w:cs="Times New Roman"/>
          <w:color w:val="auto"/>
          <w:sz w:val="32"/>
          <w:szCs w:val="32"/>
          <w:highlight w:val="green"/>
          <w:lang w:val="es-CO"/>
        </w:rPr>
      </w:pPr>
      <w:r w:rsidRPr="00E3398D">
        <w:rPr>
          <w:rFonts w:eastAsia="Times New Roman" w:cs="Times New Roman"/>
          <w:color w:val="auto"/>
          <w:sz w:val="32"/>
          <w:szCs w:val="32"/>
          <w:highlight w:val="green"/>
          <w:lang w:val="es-CO"/>
        </w:rPr>
        <w:t> </w:t>
      </w:r>
    </w:p>
    <w:p w:rsidR="00E76BF7" w:rsidRPr="00E3398D" w:rsidRDefault="00E76BF7" w:rsidP="00E76BF7">
      <w:pPr>
        <w:spacing w:line="240" w:lineRule="auto"/>
        <w:rPr>
          <w:rFonts w:eastAsia="Times New Roman" w:cs="Times New Roman"/>
          <w:color w:val="auto"/>
          <w:sz w:val="32"/>
          <w:szCs w:val="32"/>
          <w:lang w:val="es-CO"/>
        </w:rPr>
      </w:pPr>
      <w:r w:rsidRPr="00E3398D">
        <w:rPr>
          <w:rFonts w:eastAsia="Times New Roman" w:cs="Times New Roman"/>
          <w:b/>
          <w:bCs/>
          <w:color w:val="auto"/>
          <w:sz w:val="32"/>
          <w:szCs w:val="32"/>
          <w:highlight w:val="green"/>
          <w:lang w:val="es-CO"/>
        </w:rPr>
        <w:t>RESPUESTA</w:t>
      </w:r>
      <w:r w:rsidRPr="00E3398D">
        <w:rPr>
          <w:rFonts w:eastAsia="Times New Roman" w:cs="Times New Roman"/>
          <w:bCs/>
          <w:color w:val="auto"/>
          <w:sz w:val="32"/>
          <w:szCs w:val="32"/>
          <w:highlight w:val="green"/>
          <w:lang w:val="es-CO"/>
        </w:rPr>
        <w:t>: </w:t>
      </w:r>
      <w:r w:rsidRPr="00E3398D">
        <w:rPr>
          <w:rFonts w:eastAsia="Times New Roman" w:cs="Times New Roman"/>
          <w:color w:val="auto"/>
          <w:sz w:val="32"/>
          <w:szCs w:val="32"/>
          <w:highlight w:val="green"/>
          <w:lang w:val="es-CO"/>
        </w:rPr>
        <w:t>No, sobre el particular debe tenerse en cuenta el </w:t>
      </w:r>
      <w:r w:rsidR="00E3398D" w:rsidRPr="00E3398D">
        <w:rPr>
          <w:sz w:val="32"/>
          <w:szCs w:val="32"/>
        </w:rPr>
        <w:fldChar w:fldCharType="begin"/>
      </w:r>
      <w:r w:rsidR="00E3398D" w:rsidRPr="00E3398D">
        <w:rPr>
          <w:sz w:val="32"/>
          <w:szCs w:val="32"/>
          <w:lang w:val="es-CO"/>
        </w:rPr>
        <w:instrText xml:space="preserve"> HYPERLINK "https://www.ceta.org.co/html/vista_de_un_articulo.asp?Norma=155" \o "Estatuto Tributario CETA" </w:instrText>
      </w:r>
      <w:r w:rsidR="00E3398D" w:rsidRPr="00E3398D">
        <w:rPr>
          <w:sz w:val="32"/>
          <w:szCs w:val="32"/>
        </w:rPr>
        <w:fldChar w:fldCharType="separate"/>
      </w:r>
      <w:r w:rsidRPr="00E3398D">
        <w:rPr>
          <w:rFonts w:eastAsia="Times New Roman" w:cs="Times New Roman"/>
          <w:color w:val="auto"/>
          <w:sz w:val="32"/>
          <w:szCs w:val="32"/>
          <w:highlight w:val="green"/>
          <w:u w:val="single"/>
          <w:lang w:val="es-CO"/>
        </w:rPr>
        <w:t>artículo 107</w:t>
      </w:r>
      <w:r w:rsidR="00E3398D" w:rsidRPr="00E3398D">
        <w:rPr>
          <w:rFonts w:eastAsia="Times New Roman" w:cs="Times New Roman"/>
          <w:color w:val="auto"/>
          <w:sz w:val="32"/>
          <w:szCs w:val="32"/>
          <w:highlight w:val="green"/>
          <w:u w:val="single"/>
          <w:lang w:val="es-CO"/>
        </w:rPr>
        <w:fldChar w:fldCharType="end"/>
      </w:r>
      <w:r w:rsidRPr="00E3398D">
        <w:rPr>
          <w:rFonts w:eastAsia="Times New Roman" w:cs="Times New Roman"/>
          <w:color w:val="auto"/>
          <w:sz w:val="32"/>
          <w:szCs w:val="32"/>
          <w:highlight w:val="green"/>
          <w:lang w:val="es-CO"/>
        </w:rPr>
        <w:t> del Estatuto Tributario, que establece las condiciones para que las expensas necesarias sean deducibles.</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bookmarkStart w:id="0" w:name="_GoBack"/>
      <w:bookmarkEnd w:id="0"/>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5. ¿Cómo se desconoce un pasivo fiscalmente, cuando el mismo se reconoce por el sistema de devengo en un año (2017) y a los tres años (2020) se realiza el pago en efectivo sin dar aplicación al </w:t>
      </w:r>
      <w:r w:rsidR="00E3398D">
        <w:fldChar w:fldCharType="begin"/>
      </w:r>
      <w:r w:rsidR="00E3398D" w:rsidRPr="00E3398D">
        <w:rPr>
          <w:lang w:val="es-CO"/>
        </w:rPr>
        <w:instrText xml:space="preserve"> HYPERLINK "https://www.ceta.org.co/html/vista_de_un_articulo.asp?Norma=26863" \o "</w:instrText>
      </w:r>
      <w:r w:rsidR="00E3398D" w:rsidRPr="00E3398D">
        <w:rPr>
          <w:lang w:val="es-CO"/>
        </w:rPr>
        <w:instrText xml:space="preserve">Estatuto Tributario CETA" </w:instrText>
      </w:r>
      <w:r w:rsidR="00E3398D">
        <w:fldChar w:fldCharType="separate"/>
      </w:r>
      <w:r w:rsidRPr="00E76BF7">
        <w:rPr>
          <w:rFonts w:eastAsia="Times New Roman" w:cs="Times New Roman"/>
          <w:b/>
          <w:bCs/>
          <w:color w:val="auto"/>
          <w:szCs w:val="24"/>
          <w:u w:val="single"/>
          <w:lang w:val="es-CO"/>
        </w:rPr>
        <w:t>artículo 771-5</w:t>
      </w:r>
      <w:r w:rsidR="00E3398D">
        <w:rPr>
          <w:rFonts w:eastAsia="Times New Roman" w:cs="Times New Roman"/>
          <w:b/>
          <w:bCs/>
          <w:color w:val="auto"/>
          <w:szCs w:val="24"/>
          <w:u w:val="single"/>
          <w:lang w:val="es-CO"/>
        </w:rPr>
        <w:fldChar w:fldCharType="end"/>
      </w:r>
      <w:r w:rsidRPr="00E76BF7">
        <w:rPr>
          <w:rFonts w:eastAsia="Times New Roman" w:cs="Times New Roman"/>
          <w:b/>
          <w:bCs/>
          <w:color w:val="auto"/>
          <w:szCs w:val="24"/>
          <w:lang w:val="es-CO"/>
        </w:rPr>
        <w:t> del Estatuto Tributario?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RESPUESTA: </w:t>
      </w:r>
      <w:r w:rsidRPr="00E76BF7">
        <w:rPr>
          <w:rFonts w:eastAsia="Times New Roman" w:cs="Times New Roman"/>
          <w:color w:val="auto"/>
          <w:szCs w:val="24"/>
          <w:lang w:val="es-CO"/>
        </w:rPr>
        <w:t>Se insiste en lo manifestado en la pregunta No. 3, en cuanto a que las funciones de este Despacho se limitan a la interpretación de las normas tributarias, aduaneras y cambiarias, y la presente pregunta no buscar dilucidar aspectos oscuros de la norma, sino indagar acerca </w:t>
      </w:r>
      <w:r w:rsidRPr="00E76BF7">
        <w:rPr>
          <w:rFonts w:eastAsia="Times New Roman" w:cs="Times New Roman"/>
          <w:b/>
          <w:bCs/>
          <w:color w:val="auto"/>
          <w:szCs w:val="24"/>
          <w:lang w:val="es-CO"/>
        </w:rPr>
        <w:t>de la manera o forma cómo desconocer un pasivo fiscalmente,</w:t>
      </w:r>
      <w:r w:rsidRPr="00E76BF7">
        <w:rPr>
          <w:rFonts w:eastAsia="Times New Roman" w:cs="Times New Roman"/>
          <w:color w:val="auto"/>
          <w:szCs w:val="24"/>
          <w:lang w:val="es-CO"/>
        </w:rPr>
        <w:t> lo cual escapa a las competencias asignadas a esta Subdirección, en tanto, la asesoría tributaria a los contribuyentes no hace parte de dicha función.</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lastRenderedPageBreak/>
        <w:t>Aclarado lo anterior, resulta pertinente anotar que 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mencionado por el consultante dispone los límites y las circunstancias por los cuales la autoridad tributaria puede desconocer un pasivo fiscalmente. Esta norma es el soporte de la actuación administrativa que corresponda con la determinación de los impuestos de un contribuyente.</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6. ¿Son concurrentes las limitantes de que trata el parágrafo 1 y el parágrafo 2 del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b/>
          <w:bCs/>
          <w:color w:val="auto"/>
          <w:szCs w:val="24"/>
          <w:u w:val="single"/>
          <w:lang w:val="es-CO"/>
        </w:rPr>
        <w:t>artículo 771-5</w:t>
      </w:r>
      <w:r w:rsidR="00E3398D">
        <w:rPr>
          <w:rFonts w:eastAsia="Times New Roman" w:cs="Times New Roman"/>
          <w:b/>
          <w:bCs/>
          <w:color w:val="auto"/>
          <w:szCs w:val="24"/>
          <w:u w:val="single"/>
          <w:lang w:val="es-CO"/>
        </w:rPr>
        <w:fldChar w:fldCharType="end"/>
      </w:r>
      <w:r w:rsidRPr="00E76BF7">
        <w:rPr>
          <w:rFonts w:eastAsia="Times New Roman" w:cs="Times New Roman"/>
          <w:b/>
          <w:bCs/>
          <w:color w:val="auto"/>
          <w:szCs w:val="24"/>
          <w:lang w:val="es-CO"/>
        </w:rPr>
        <w:t> ibídem, en relación con los medios de pago?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RESPUESTA: </w:t>
      </w:r>
      <w:r w:rsidRPr="00E76BF7">
        <w:rPr>
          <w:rFonts w:eastAsia="Times New Roman" w:cs="Times New Roman"/>
          <w:color w:val="auto"/>
          <w:szCs w:val="24"/>
          <w:lang w:val="es-CO"/>
        </w:rPr>
        <w:t>Todas las normas se deben analizar de manera integral y armónica, para el caso del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el parágrafo 1º contempla una regla general para </w:t>
      </w:r>
      <w:r w:rsidRPr="00E76BF7">
        <w:rPr>
          <w:rFonts w:eastAsia="Times New Roman" w:cs="Times New Roman"/>
          <w:b/>
          <w:bCs/>
          <w:color w:val="auto"/>
          <w:szCs w:val="24"/>
          <w:lang w:val="es-CO"/>
        </w:rPr>
        <w:t>los pagos</w:t>
      </w:r>
      <w:r w:rsidRPr="00E76BF7">
        <w:rPr>
          <w:rFonts w:eastAsia="Times New Roman" w:cs="Times New Roman"/>
          <w:color w:val="auto"/>
          <w:szCs w:val="24"/>
          <w:lang w:val="es-CO"/>
        </w:rPr>
        <w:t> en efectivo realizados por los contribuyentes o responsables </w:t>
      </w:r>
      <w:r w:rsidRPr="00E76BF7">
        <w:rPr>
          <w:rFonts w:eastAsia="Times New Roman" w:cs="Times New Roman"/>
          <w:b/>
          <w:bCs/>
          <w:color w:val="auto"/>
          <w:szCs w:val="24"/>
          <w:lang w:val="es-CO"/>
        </w:rPr>
        <w:t>independientemente del número de pagos</w:t>
      </w:r>
      <w:r w:rsidRPr="00E76BF7">
        <w:rPr>
          <w:rFonts w:eastAsia="Times New Roman" w:cs="Times New Roman"/>
          <w:color w:val="auto"/>
          <w:szCs w:val="24"/>
          <w:lang w:val="es-CO"/>
        </w:rPr>
        <w:t> que se realicen durante el año para su reconocimiento fiscal como costos, deducciones, pasivos o impuestos descontables, y el parágrafo 2º se refiere </w:t>
      </w:r>
      <w:r w:rsidRPr="00E76BF7">
        <w:rPr>
          <w:rFonts w:eastAsia="Times New Roman" w:cs="Times New Roman"/>
          <w:b/>
          <w:bCs/>
          <w:color w:val="auto"/>
          <w:szCs w:val="24"/>
          <w:lang w:val="es-CO"/>
        </w:rPr>
        <w:t>a los pagos individuales que superen las cien (100) UVT.</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Así, será el contribuyente en cada caso particular, quien deberá analizar si en los pagos efectuados se dan los presupuestos contemplados en el parágrafo 1º o si los pagos realizados corresponden a la regla de que trata el parágrafo 2º del mencionado </w:t>
      </w:r>
      <w:r w:rsidR="00E3398D">
        <w:fldChar w:fldCharType="begin"/>
      </w:r>
      <w:r w:rsidR="00E3398D" w:rsidRPr="00E3398D">
        <w:rPr>
          <w:lang w:val="es-CO"/>
        </w:rPr>
        <w:instrText xml:space="preserve"> HYPERLINK "https://www.ceta.org.co/html/vista_de_un_articulo.asp?Norma=26863" \o "Estatuto Tributario CETA" </w:instrText>
      </w:r>
      <w:r w:rsidR="00E3398D">
        <w:fldChar w:fldCharType="separate"/>
      </w:r>
      <w:r w:rsidRPr="00E76BF7">
        <w:rPr>
          <w:rFonts w:eastAsia="Times New Roman" w:cs="Times New Roman"/>
          <w:color w:val="auto"/>
          <w:szCs w:val="24"/>
          <w:u w:val="single"/>
          <w:lang w:val="es-CO"/>
        </w:rPr>
        <w:t>artículo 771-5</w:t>
      </w:r>
      <w:r w:rsidR="00E3398D">
        <w:rPr>
          <w:rFonts w:eastAsia="Times New Roman" w:cs="Times New Roman"/>
          <w:color w:val="auto"/>
          <w:szCs w:val="24"/>
          <w:u w:val="single"/>
          <w:lang w:val="es-CO"/>
        </w:rPr>
        <w:fldChar w:fldCharType="end"/>
      </w:r>
      <w:r w:rsidRPr="00E76BF7">
        <w:rPr>
          <w:rFonts w:eastAsia="Times New Roman" w:cs="Times New Roman"/>
          <w:color w:val="auto"/>
          <w:szCs w:val="24"/>
          <w:lang w:val="es-CO"/>
        </w:rPr>
        <w:t>, en tanto, dichos parágrafos regulan situaciones diferentes que pueden suceder de manera independiente, pues, </w:t>
      </w:r>
      <w:r w:rsidRPr="00E76BF7">
        <w:rPr>
          <w:rFonts w:eastAsia="Times New Roman" w:cs="Times New Roman"/>
          <w:b/>
          <w:bCs/>
          <w:color w:val="auto"/>
          <w:szCs w:val="24"/>
          <w:lang w:val="es-CO"/>
        </w:rPr>
        <w:t>el primero se refiere a una vigencia fiscal anual en particular y el segundo a pagos individuales, </w:t>
      </w:r>
      <w:r w:rsidRPr="00E76BF7">
        <w:rPr>
          <w:rFonts w:eastAsia="Times New Roman" w:cs="Times New Roman"/>
          <w:color w:val="auto"/>
          <w:szCs w:val="24"/>
          <w:lang w:val="es-CO"/>
        </w:rPr>
        <w:t>circunstancias respecto de las cuales no se puede predicar inequívocamente concurrencia o exclusión, así como tampoco incompatibilidad, debido a que son criterios que dependen de cada circunstancia y objeto de análisis.</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Lo anterior de acuerdo con las definiciones del Diccionario de la Real Academia de la Lengua Española, así:</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color w:val="auto"/>
          <w:szCs w:val="24"/>
          <w:lang w:val="es-CO"/>
        </w:rPr>
        <w:t>Concurrencia</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De </w:t>
      </w:r>
      <w:r w:rsidRPr="00E76BF7">
        <w:rPr>
          <w:rFonts w:eastAsia="Times New Roman" w:cs="Times New Roman"/>
          <w:i/>
          <w:iCs/>
          <w:color w:val="auto"/>
          <w:szCs w:val="24"/>
          <w:lang w:val="es-CO"/>
        </w:rPr>
        <w:t>concurrente.</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color w:val="auto"/>
          <w:szCs w:val="24"/>
          <w:lang w:val="es-CO"/>
        </w:rPr>
        <w:t>1. f. Acción y efecto de concurrir.</w:t>
      </w:r>
    </w:p>
    <w:p w:rsidR="0023204C" w:rsidRDefault="0023204C" w:rsidP="00E76BF7">
      <w:pPr>
        <w:spacing w:line="240" w:lineRule="auto"/>
        <w:ind w:left="180"/>
        <w:rPr>
          <w:rFonts w:eastAsia="Times New Roman" w:cs="Times New Roman"/>
          <w:color w:val="auto"/>
          <w:szCs w:val="24"/>
          <w:lang w:val="es-CO"/>
        </w:rPr>
      </w:pP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2. f. Conjunto de personas que asisten a un acto o reunión.</w:t>
      </w:r>
    </w:p>
    <w:p w:rsidR="0023204C" w:rsidRDefault="0023204C" w:rsidP="00E76BF7">
      <w:pPr>
        <w:spacing w:line="240" w:lineRule="auto"/>
        <w:ind w:left="180"/>
        <w:rPr>
          <w:rFonts w:eastAsia="Times New Roman" w:cs="Times New Roman"/>
          <w:b/>
          <w:bCs/>
          <w:color w:val="auto"/>
          <w:szCs w:val="24"/>
          <w:lang w:val="es-CO"/>
        </w:rPr>
      </w:pP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color w:val="auto"/>
          <w:szCs w:val="24"/>
          <w:lang w:val="es-CO"/>
        </w:rPr>
        <w:t>3. f. Coincidencia, concurso simultáneo de varias circunstancias.</w:t>
      </w:r>
    </w:p>
    <w:p w:rsidR="0023204C" w:rsidRDefault="0023204C" w:rsidP="00E76BF7">
      <w:pPr>
        <w:spacing w:line="240" w:lineRule="auto"/>
        <w:ind w:left="180"/>
        <w:rPr>
          <w:rFonts w:eastAsia="Times New Roman" w:cs="Times New Roman"/>
          <w:color w:val="auto"/>
          <w:szCs w:val="24"/>
          <w:lang w:val="es-CO"/>
        </w:rPr>
      </w:pP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4. f. Asistencia, participación.</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color w:val="auto"/>
          <w:szCs w:val="24"/>
          <w:lang w:val="es-CO"/>
        </w:rPr>
        <w:t>Excluir</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Del lat. </w:t>
      </w:r>
      <w:r w:rsidRPr="00E76BF7">
        <w:rPr>
          <w:rFonts w:eastAsia="Times New Roman" w:cs="Times New Roman"/>
          <w:i/>
          <w:iCs/>
          <w:color w:val="auto"/>
          <w:szCs w:val="24"/>
          <w:lang w:val="es-CO"/>
        </w:rPr>
        <w:t xml:space="preserve">ex </w:t>
      </w:r>
      <w:proofErr w:type="spellStart"/>
      <w:r w:rsidRPr="00E76BF7">
        <w:rPr>
          <w:rFonts w:eastAsia="Times New Roman" w:cs="Times New Roman"/>
          <w:i/>
          <w:iCs/>
          <w:color w:val="auto"/>
          <w:szCs w:val="24"/>
          <w:lang w:val="es-CO"/>
        </w:rPr>
        <w:t>cludere</w:t>
      </w:r>
      <w:proofErr w:type="spellEnd"/>
      <w:r w:rsidRPr="00E76BF7">
        <w:rPr>
          <w:rFonts w:eastAsia="Times New Roman" w:cs="Times New Roman"/>
          <w:i/>
          <w:iCs/>
          <w:color w:val="auto"/>
          <w:szCs w:val="24"/>
          <w:lang w:val="es-CO"/>
        </w:rPr>
        <w:t>.</w:t>
      </w:r>
    </w:p>
    <w:p w:rsidR="00E76BF7" w:rsidRPr="00E76BF7" w:rsidRDefault="00E76BF7" w:rsidP="00E76BF7">
      <w:pPr>
        <w:spacing w:line="240" w:lineRule="auto"/>
        <w:ind w:left="180"/>
        <w:rPr>
          <w:rFonts w:eastAsia="Times New Roman" w:cs="Times New Roman"/>
          <w:color w:val="auto"/>
          <w:szCs w:val="24"/>
          <w:lang w:val="es-CO"/>
        </w:rPr>
      </w:pPr>
      <w:proofErr w:type="spellStart"/>
      <w:r w:rsidRPr="00E76BF7">
        <w:rPr>
          <w:rFonts w:eastAsia="Times New Roman" w:cs="Times New Roman"/>
          <w:color w:val="auto"/>
          <w:szCs w:val="24"/>
          <w:lang w:val="es-CO"/>
        </w:rPr>
        <w:t>Conjug</w:t>
      </w:r>
      <w:proofErr w:type="spellEnd"/>
      <w:r w:rsidRPr="00E76BF7">
        <w:rPr>
          <w:rFonts w:eastAsia="Times New Roman" w:cs="Times New Roman"/>
          <w:color w:val="auto"/>
          <w:szCs w:val="24"/>
          <w:lang w:val="es-CO"/>
        </w:rPr>
        <w:t>. c. </w:t>
      </w:r>
      <w:r w:rsidRPr="00E76BF7">
        <w:rPr>
          <w:rFonts w:eastAsia="Times New Roman" w:cs="Times New Roman"/>
          <w:i/>
          <w:iCs/>
          <w:color w:val="auto"/>
          <w:szCs w:val="24"/>
          <w:lang w:val="es-CO"/>
        </w:rPr>
        <w:t>construir.</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xml:space="preserve">1. </w:t>
      </w:r>
      <w:proofErr w:type="spellStart"/>
      <w:r w:rsidRPr="00E76BF7">
        <w:rPr>
          <w:rFonts w:eastAsia="Times New Roman" w:cs="Times New Roman"/>
          <w:color w:val="auto"/>
          <w:szCs w:val="24"/>
          <w:lang w:val="es-CO"/>
        </w:rPr>
        <w:t>tr</w:t>
      </w:r>
      <w:proofErr w:type="spellEnd"/>
      <w:r w:rsidRPr="00E76BF7">
        <w:rPr>
          <w:rFonts w:eastAsia="Times New Roman" w:cs="Times New Roman"/>
          <w:color w:val="auto"/>
          <w:szCs w:val="24"/>
          <w:lang w:val="es-CO"/>
        </w:rPr>
        <w:t>. Quitar a alguien o algo de lugar que ocupaba o prescindir de él o de ello. Excluir a alguien de una junta o comunidad. Excluir una partida de la cuenta.</w:t>
      </w:r>
    </w:p>
    <w:p w:rsidR="0023204C" w:rsidRDefault="0023204C" w:rsidP="00E76BF7">
      <w:pPr>
        <w:spacing w:line="240" w:lineRule="auto"/>
        <w:ind w:left="180"/>
        <w:rPr>
          <w:rFonts w:eastAsia="Times New Roman" w:cs="Times New Roman"/>
          <w:color w:val="auto"/>
          <w:szCs w:val="24"/>
          <w:lang w:val="es-CO"/>
        </w:rPr>
      </w:pP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xml:space="preserve">2. </w:t>
      </w:r>
      <w:proofErr w:type="spellStart"/>
      <w:r w:rsidRPr="00E76BF7">
        <w:rPr>
          <w:rFonts w:eastAsia="Times New Roman" w:cs="Times New Roman"/>
          <w:color w:val="auto"/>
          <w:szCs w:val="24"/>
          <w:lang w:val="es-CO"/>
        </w:rPr>
        <w:t>tr</w:t>
      </w:r>
      <w:proofErr w:type="spellEnd"/>
      <w:r w:rsidRPr="00E76BF7">
        <w:rPr>
          <w:rFonts w:eastAsia="Times New Roman" w:cs="Times New Roman"/>
          <w:color w:val="auto"/>
          <w:szCs w:val="24"/>
          <w:lang w:val="es-CO"/>
        </w:rPr>
        <w:t>. Descartar, rechazar o negar la posibilidad de algo. Los datos excluyen ese supuesto.</w:t>
      </w:r>
    </w:p>
    <w:p w:rsidR="0023204C" w:rsidRDefault="0023204C" w:rsidP="00E76BF7">
      <w:pPr>
        <w:spacing w:line="240" w:lineRule="auto"/>
        <w:ind w:left="180"/>
        <w:rPr>
          <w:rFonts w:eastAsia="Times New Roman" w:cs="Times New Roman"/>
          <w:b/>
          <w:bCs/>
          <w:color w:val="auto"/>
          <w:szCs w:val="24"/>
          <w:lang w:val="es-CO"/>
        </w:rPr>
      </w:pP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b/>
          <w:bCs/>
          <w:color w:val="auto"/>
          <w:szCs w:val="24"/>
          <w:lang w:val="es-CO"/>
        </w:rPr>
        <w:t xml:space="preserve">3. </w:t>
      </w:r>
      <w:proofErr w:type="spellStart"/>
      <w:r w:rsidRPr="00E76BF7">
        <w:rPr>
          <w:rFonts w:eastAsia="Times New Roman" w:cs="Times New Roman"/>
          <w:b/>
          <w:bCs/>
          <w:color w:val="auto"/>
          <w:szCs w:val="24"/>
          <w:lang w:val="es-CO"/>
        </w:rPr>
        <w:t>prnl</w:t>
      </w:r>
      <w:proofErr w:type="spellEnd"/>
      <w:r w:rsidRPr="00E76BF7">
        <w:rPr>
          <w:rFonts w:eastAsia="Times New Roman" w:cs="Times New Roman"/>
          <w:b/>
          <w:bCs/>
          <w:color w:val="auto"/>
          <w:szCs w:val="24"/>
          <w:lang w:val="es-CO"/>
        </w:rPr>
        <w:t>. Dicho de dos cosas: Ser incompatibles.</w:t>
      </w:r>
    </w:p>
    <w:p w:rsidR="0023204C" w:rsidRDefault="0023204C" w:rsidP="00E76BF7">
      <w:pPr>
        <w:spacing w:line="240" w:lineRule="auto"/>
        <w:ind w:left="180"/>
        <w:rPr>
          <w:rFonts w:eastAsia="Times New Roman" w:cs="Times New Roman"/>
          <w:color w:val="auto"/>
          <w:szCs w:val="24"/>
          <w:lang w:val="es-CO"/>
        </w:rPr>
      </w:pPr>
    </w:p>
    <w:p w:rsidR="00E76BF7" w:rsidRPr="00E76BF7" w:rsidRDefault="00E76BF7" w:rsidP="00E76BF7">
      <w:pPr>
        <w:spacing w:line="240" w:lineRule="auto"/>
        <w:ind w:left="180"/>
        <w:rPr>
          <w:rFonts w:eastAsia="Times New Roman" w:cs="Times New Roman"/>
          <w:color w:val="auto"/>
          <w:szCs w:val="24"/>
          <w:lang w:val="es-CO"/>
        </w:rPr>
      </w:pPr>
      <w:r w:rsidRPr="00E76BF7">
        <w:rPr>
          <w:rFonts w:eastAsia="Times New Roman" w:cs="Times New Roman"/>
          <w:color w:val="auto"/>
          <w:szCs w:val="24"/>
          <w:lang w:val="es-CO"/>
        </w:rPr>
        <w:t xml:space="preserve">4. </w:t>
      </w:r>
      <w:proofErr w:type="spellStart"/>
      <w:r w:rsidRPr="00E76BF7">
        <w:rPr>
          <w:rFonts w:eastAsia="Times New Roman" w:cs="Times New Roman"/>
          <w:color w:val="auto"/>
          <w:szCs w:val="24"/>
          <w:lang w:val="es-CO"/>
        </w:rPr>
        <w:t>prnl</w:t>
      </w:r>
      <w:proofErr w:type="spellEnd"/>
      <w:r w:rsidRPr="00E76BF7">
        <w:rPr>
          <w:rFonts w:eastAsia="Times New Roman" w:cs="Times New Roman"/>
          <w:color w:val="auto"/>
          <w:szCs w:val="24"/>
          <w:lang w:val="es-CO"/>
        </w:rPr>
        <w:t>. Dicho de una persona: Dejar de formar parte de algo voluntariamente.</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Atentamente,</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 </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b/>
          <w:bCs/>
          <w:color w:val="auto"/>
          <w:szCs w:val="24"/>
          <w:lang w:val="es-CO"/>
        </w:rPr>
        <w:t>PEDRO PABLO CONTRERAS CAMARGO</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Subdirector de Gestión Normativa y Doctrina</w:t>
      </w:r>
    </w:p>
    <w:p w:rsidR="00E76BF7" w:rsidRPr="00E76BF7" w:rsidRDefault="00E76BF7" w:rsidP="00E76BF7">
      <w:pPr>
        <w:spacing w:line="240" w:lineRule="auto"/>
        <w:rPr>
          <w:rFonts w:eastAsia="Times New Roman" w:cs="Times New Roman"/>
          <w:color w:val="auto"/>
          <w:szCs w:val="24"/>
          <w:lang w:val="es-CO"/>
        </w:rPr>
      </w:pPr>
      <w:r w:rsidRPr="00E76BF7">
        <w:rPr>
          <w:rFonts w:eastAsia="Times New Roman" w:cs="Times New Roman"/>
          <w:color w:val="auto"/>
          <w:szCs w:val="24"/>
          <w:lang w:val="es-CO"/>
        </w:rPr>
        <w:t>Dirección de Gestión Jurídica U.A.E. DIAN</w:t>
      </w:r>
    </w:p>
    <w:p w:rsidR="00147980" w:rsidRPr="00E76BF7" w:rsidRDefault="00147980">
      <w:pPr>
        <w:rPr>
          <w:rFonts w:cs="Times New Roman"/>
          <w:color w:val="auto"/>
          <w:szCs w:val="24"/>
          <w:lang w:val="es-CO"/>
        </w:rPr>
      </w:pPr>
    </w:p>
    <w:sectPr w:rsidR="00147980" w:rsidRPr="00E76BF7" w:rsidSect="00D1171E">
      <w:pgSz w:w="12191" w:h="18711"/>
      <w:pgMar w:top="1366" w:right="1444" w:bottom="529" w:left="2192"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F7"/>
    <w:rsid w:val="00147980"/>
    <w:rsid w:val="0023204C"/>
    <w:rsid w:val="00B66046"/>
    <w:rsid w:val="00D1171E"/>
    <w:rsid w:val="00E3398D"/>
    <w:rsid w:val="00E76BF7"/>
    <w:rsid w:val="00EC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34838-544E-4961-8894-364D41B7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2703</Words>
  <Characters>15410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2018-09-29T01:11:00Z</dcterms:created>
  <dcterms:modified xsi:type="dcterms:W3CDTF">2018-12-18T15:03:00Z</dcterms:modified>
</cp:coreProperties>
</file>