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34" w:rsidRPr="00BF7434" w:rsidRDefault="00BF7434" w:rsidP="00BF7434">
      <w:pPr>
        <w:pStyle w:val="NormalWeb"/>
        <w:shd w:val="clear" w:color="auto" w:fill="FFFFFF"/>
        <w:spacing w:before="0" w:beforeAutospacing="0" w:after="0" w:afterAutospacing="0"/>
        <w:jc w:val="center"/>
        <w:rPr>
          <w:rStyle w:val="Textoennegrita"/>
          <w:lang w:val="es-CO"/>
        </w:rPr>
      </w:pPr>
      <w:r w:rsidRPr="00BF7434">
        <w:rPr>
          <w:rStyle w:val="Textoennegrita"/>
          <w:lang w:val="es-CO"/>
        </w:rPr>
        <w:t>DIAN</w:t>
      </w:r>
      <w:r w:rsidRPr="00BF7434">
        <w:rPr>
          <w:b/>
          <w:bCs/>
          <w:lang w:val="es-CO"/>
        </w:rPr>
        <w:br/>
      </w:r>
    </w:p>
    <w:p w:rsidR="00BF7434" w:rsidRPr="00BF7434" w:rsidRDefault="00BF7434" w:rsidP="00BF7434">
      <w:pPr>
        <w:pStyle w:val="NormalWeb"/>
        <w:shd w:val="clear" w:color="auto" w:fill="FFFFFF"/>
        <w:spacing w:before="0" w:beforeAutospacing="0" w:after="0" w:afterAutospacing="0"/>
        <w:jc w:val="center"/>
        <w:rPr>
          <w:lang w:val="es-CO"/>
        </w:rPr>
      </w:pPr>
      <w:r w:rsidRPr="00BF7434">
        <w:rPr>
          <w:rStyle w:val="Textoennegrita"/>
          <w:lang w:val="es-CO"/>
        </w:rPr>
        <w:t>Concepto 301</w:t>
      </w:r>
      <w:r w:rsidRPr="00BF7434">
        <w:rPr>
          <w:b/>
          <w:bCs/>
          <w:lang w:val="es-CO"/>
        </w:rPr>
        <w:br/>
      </w:r>
    </w:p>
    <w:p w:rsidR="00BF7434" w:rsidRPr="00BF7434" w:rsidRDefault="00BF7434" w:rsidP="00BF7434">
      <w:pPr>
        <w:pStyle w:val="NormalWeb"/>
        <w:shd w:val="clear" w:color="auto" w:fill="FFFFFF"/>
        <w:spacing w:before="0" w:beforeAutospacing="0" w:after="0" w:afterAutospacing="0"/>
        <w:jc w:val="center"/>
        <w:rPr>
          <w:lang w:val="es-CO"/>
        </w:rPr>
      </w:pPr>
      <w:r w:rsidRPr="00BF7434">
        <w:rPr>
          <w:lang w:val="es-CO"/>
        </w:rPr>
        <w:t>Marzo 06 de 2018</w:t>
      </w:r>
    </w:p>
    <w:p w:rsidR="00BF7434" w:rsidRPr="00BF7434" w:rsidRDefault="00BF7434" w:rsidP="00BF7434">
      <w:pPr>
        <w:pStyle w:val="NormalWeb"/>
        <w:shd w:val="clear" w:color="auto" w:fill="FFFFFF"/>
        <w:spacing w:before="0" w:beforeAutospacing="0" w:after="300" w:afterAutospacing="0"/>
        <w:jc w:val="center"/>
        <w:rPr>
          <w:lang w:val="es-CO"/>
        </w:rPr>
      </w:pPr>
    </w:p>
    <w:p w:rsidR="00BF7434" w:rsidRPr="00BF7434" w:rsidRDefault="00BF7434" w:rsidP="00BF7434">
      <w:pPr>
        <w:pStyle w:val="NormalWeb"/>
        <w:shd w:val="clear" w:color="auto" w:fill="FFFFFF"/>
        <w:spacing w:before="0" w:beforeAutospacing="0" w:after="0" w:afterAutospacing="0"/>
        <w:jc w:val="both"/>
        <w:rPr>
          <w:rStyle w:val="Textoennegrita"/>
          <w:lang w:val="es-CO"/>
        </w:rPr>
      </w:pPr>
    </w:p>
    <w:p w:rsidR="00BF7434" w:rsidRPr="00BF7434" w:rsidRDefault="00BF7434" w:rsidP="00BF7434">
      <w:pPr>
        <w:pStyle w:val="NormalWeb"/>
        <w:shd w:val="clear" w:color="auto" w:fill="FFFFFF"/>
        <w:spacing w:before="0" w:beforeAutospacing="0" w:after="0" w:afterAutospacing="0"/>
        <w:jc w:val="both"/>
        <w:rPr>
          <w:lang w:val="es-CO"/>
        </w:rPr>
      </w:pPr>
      <w:proofErr w:type="spellStart"/>
      <w:r w:rsidRPr="00BF7434">
        <w:rPr>
          <w:rStyle w:val="Textoennegrita"/>
          <w:lang w:val="es-CO"/>
        </w:rPr>
        <w:t>Ref</w:t>
      </w:r>
      <w:proofErr w:type="spellEnd"/>
      <w:r w:rsidRPr="00BF7434">
        <w:rPr>
          <w:rStyle w:val="Textoennegrita"/>
          <w:lang w:val="es-CO"/>
        </w:rPr>
        <w:t>:</w:t>
      </w:r>
      <w:r w:rsidRPr="00BF7434">
        <w:rPr>
          <w:lang w:val="es-CO"/>
        </w:rPr>
        <w:t> Radicado 100005527 del 20/02/2018</w:t>
      </w:r>
    </w:p>
    <w:p w:rsidR="00BF7434" w:rsidRPr="00BF7434" w:rsidRDefault="00BF7434" w:rsidP="00BF7434">
      <w:pPr>
        <w:pStyle w:val="NormalWeb"/>
        <w:shd w:val="clear" w:color="auto" w:fill="FFFFFF"/>
        <w:spacing w:before="0" w:beforeAutospacing="0" w:after="0" w:afterAutospacing="0"/>
        <w:jc w:val="both"/>
        <w:rPr>
          <w:lang w:val="es-CO"/>
        </w:rPr>
      </w:pPr>
    </w:p>
    <w:p w:rsidR="00BF7434" w:rsidRPr="00BF7434" w:rsidRDefault="00BF7434" w:rsidP="00BF7434">
      <w:pPr>
        <w:pStyle w:val="NormalWeb"/>
        <w:shd w:val="clear" w:color="auto" w:fill="FFFFFF"/>
        <w:spacing w:before="0" w:beforeAutospacing="0" w:after="0" w:afterAutospacing="0"/>
        <w:jc w:val="both"/>
        <w:rPr>
          <w:lang w:val="es-CO"/>
        </w:rPr>
      </w:pPr>
      <w:r w:rsidRPr="00BF7434">
        <w:rPr>
          <w:lang w:val="es-CO"/>
        </w:rPr>
        <w:t>Cordial saludo, </w:t>
      </w:r>
      <w:r w:rsidRPr="00BF7434">
        <w:rPr>
          <w:rStyle w:val="Textoennegrita"/>
          <w:lang w:val="es-CO"/>
        </w:rPr>
        <w:t>Sr. García.</w:t>
      </w:r>
    </w:p>
    <w:p w:rsidR="00BF7434" w:rsidRPr="00BF7434" w:rsidRDefault="00BF7434" w:rsidP="00BF7434">
      <w:pPr>
        <w:pStyle w:val="NormalWeb"/>
        <w:shd w:val="clear" w:color="auto" w:fill="FFFFFF"/>
        <w:spacing w:before="0" w:beforeAutospacing="0" w:after="0" w:afterAutospacing="0"/>
        <w:jc w:val="both"/>
        <w:rPr>
          <w:lang w:val="es-CO"/>
        </w:rPr>
      </w:pPr>
    </w:p>
    <w:p w:rsidR="00BF7434" w:rsidRPr="00BF7434" w:rsidRDefault="00BF7434" w:rsidP="00BF7434">
      <w:pPr>
        <w:pStyle w:val="NormalWeb"/>
        <w:shd w:val="clear" w:color="auto" w:fill="FFFFFF"/>
        <w:spacing w:before="0" w:beforeAutospacing="0" w:after="0" w:afterAutospacing="0"/>
        <w:jc w:val="both"/>
        <w:rPr>
          <w:lang w:val="es-CO"/>
        </w:rPr>
      </w:pPr>
      <w:r w:rsidRPr="00BF7434">
        <w:rPr>
          <w:lang w:val="es-CO"/>
        </w:rPr>
        <w:t>De conformidad con el </w:t>
      </w:r>
      <w:r w:rsidR="005427D3">
        <w:fldChar w:fldCharType="begin"/>
      </w:r>
      <w:r w:rsidR="005427D3" w:rsidRPr="005427D3">
        <w:rPr>
          <w:lang w:val="es-CO"/>
        </w:rPr>
        <w:instrText xml:space="preserve"> HYPERLINK "https://actualicese.com/normatividad/2008/10/22/decreto-4048-de-22-10-2008/" </w:instrText>
      </w:r>
      <w:r w:rsidR="005427D3">
        <w:fldChar w:fldCharType="separate"/>
      </w:r>
      <w:r w:rsidRPr="00BF7434">
        <w:rPr>
          <w:rStyle w:val="Hipervnculo"/>
          <w:color w:val="auto"/>
          <w:lang w:val="es-CO"/>
        </w:rPr>
        <w:t>artículo 20 del Decreto 4048 de 2008</w:t>
      </w:r>
      <w:r w:rsidR="005427D3">
        <w:rPr>
          <w:rStyle w:val="Hipervnculo"/>
          <w:color w:val="auto"/>
          <w:lang w:val="es-CO"/>
        </w:rPr>
        <w:fldChar w:fldCharType="end"/>
      </w:r>
      <w:r w:rsidRPr="00BF7434">
        <w:rPr>
          <w:lang w:val="es-CO"/>
        </w:rPr>
        <w:t> es función de esta Subdirección absolver de modo general las consultas escritas que se formulen sobre interpretación y aplicación de las normas tributarias de carácter nacional, aduaneras y cambiarias en lo de competencia de esta entidad.</w:t>
      </w:r>
    </w:p>
    <w:p w:rsidR="00BF7434" w:rsidRPr="00BF7434" w:rsidRDefault="00BF7434" w:rsidP="00BF7434">
      <w:pPr>
        <w:pStyle w:val="NormalWeb"/>
        <w:shd w:val="clear" w:color="auto" w:fill="FFFFFF"/>
        <w:spacing w:before="0" w:beforeAutospacing="0" w:after="300" w:afterAutospacing="0"/>
        <w:jc w:val="both"/>
        <w:rPr>
          <w:lang w:val="es-CO"/>
        </w:rPr>
      </w:pP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En primer lugar,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En la petición allegada por correo electrónico se solicita responder la siguiente pregunta:</w:t>
      </w:r>
    </w:p>
    <w:p w:rsidR="00BF7434" w:rsidRPr="00BF7434" w:rsidRDefault="00BF7434" w:rsidP="00BF7434">
      <w:pPr>
        <w:pStyle w:val="NormalWeb"/>
        <w:shd w:val="clear" w:color="auto" w:fill="FFFFFF"/>
        <w:spacing w:before="0" w:beforeAutospacing="0" w:after="300" w:afterAutospacing="0"/>
        <w:jc w:val="both"/>
        <w:rPr>
          <w:b/>
          <w:lang w:val="es-CO"/>
        </w:rPr>
      </w:pPr>
      <w:r w:rsidRPr="00BF7434">
        <w:rPr>
          <w:b/>
          <w:lang w:val="es-CO"/>
        </w:rPr>
        <w:t>“CONSULTA SOBRE EL ARTÍCULO 771-5 DEL E.T (BANCARIZACIÓN)</w:t>
      </w: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 Mi consulta, para aclarar mis dudas, tiene que ver con la parte que dice DEBERAN CANALIZARSE A TRAVÉS DE LOS MEDIOS FINANCIEROS.</w:t>
      </w:r>
    </w:p>
    <w:p w:rsidR="00BF7434" w:rsidRPr="00BF7434" w:rsidRDefault="00BF7434" w:rsidP="00BF7434">
      <w:pPr>
        <w:pStyle w:val="NormalWeb"/>
        <w:shd w:val="clear" w:color="auto" w:fill="FFFFFF"/>
        <w:spacing w:before="0" w:beforeAutospacing="0" w:after="0" w:afterAutospacing="0"/>
        <w:jc w:val="both"/>
        <w:rPr>
          <w:lang w:val="es-CO"/>
        </w:rPr>
      </w:pPr>
      <w:r w:rsidRPr="00BF7434">
        <w:rPr>
          <w:lang w:val="es-CO"/>
        </w:rPr>
        <w:t>Cuando se </w:t>
      </w:r>
      <w:r w:rsidRPr="00BF7434">
        <w:rPr>
          <w:rStyle w:val="Textoennegrita"/>
          <w:lang w:val="es-CO"/>
        </w:rPr>
        <w:t>refiere a esta parte la persona quien hace el pago lo puede hacer en efectivo y utilizar un canal financiero del beneficiario</w:t>
      </w:r>
      <w:r w:rsidRPr="00BF7434">
        <w:rPr>
          <w:lang w:val="es-CO"/>
        </w:rPr>
        <w:t> (es decir hacerlo mediante una consignación a la cuenta del beneficiario), sin perjuicio de lo que dice el parágrafo 1 del artículo 771-5, del E.T.</w:t>
      </w:r>
    </w:p>
    <w:p w:rsidR="00BF7434" w:rsidRPr="00BF7434" w:rsidRDefault="00BF7434" w:rsidP="00BF7434">
      <w:pPr>
        <w:pStyle w:val="NormalWeb"/>
        <w:shd w:val="clear" w:color="auto" w:fill="FFFFFF"/>
        <w:spacing w:before="0" w:beforeAutospacing="0" w:after="0" w:afterAutospacing="0"/>
        <w:jc w:val="both"/>
        <w:rPr>
          <w:rStyle w:val="Textoennegrita"/>
          <w:lang w:val="es-CO"/>
        </w:rPr>
      </w:pPr>
    </w:p>
    <w:p w:rsidR="00BF7434" w:rsidRPr="00BF7434" w:rsidRDefault="00BF7434" w:rsidP="00BF7434">
      <w:pPr>
        <w:pStyle w:val="NormalWeb"/>
        <w:shd w:val="clear" w:color="auto" w:fill="FFFFFF"/>
        <w:spacing w:before="0" w:beforeAutospacing="0" w:after="0" w:afterAutospacing="0"/>
        <w:jc w:val="both"/>
        <w:rPr>
          <w:lang w:val="es-CO"/>
        </w:rPr>
      </w:pPr>
      <w:r w:rsidRPr="00BF7434">
        <w:rPr>
          <w:rStyle w:val="Textoennegrita"/>
          <w:lang w:val="es-CO"/>
        </w:rPr>
        <w:t>O se refiere a que AMBOS, es decir, tanto el que paga como el beneficiario del pago, deben utilizar los canales o medios financieros (</w:t>
      </w:r>
      <w:r w:rsidRPr="00BF7434">
        <w:rPr>
          <w:lang w:val="es-CO"/>
        </w:rPr>
        <w:t xml:space="preserve">tales como transferencias, cheques con la restricción de páguese únicamente al primer beneficiario, tarjetas débito o crédito, </w:t>
      </w:r>
      <w:proofErr w:type="spellStart"/>
      <w:r w:rsidRPr="00BF7434">
        <w:rPr>
          <w:lang w:val="es-CO"/>
        </w:rPr>
        <w:t>etc</w:t>
      </w:r>
      <w:proofErr w:type="spellEnd"/>
      <w:r w:rsidRPr="00BF7434">
        <w:rPr>
          <w:lang w:val="es-CO"/>
        </w:rPr>
        <w:t>)</w:t>
      </w:r>
    </w:p>
    <w:p w:rsidR="00BF7434" w:rsidRPr="00BF7434" w:rsidRDefault="00BF7434" w:rsidP="00BF7434">
      <w:pPr>
        <w:pStyle w:val="NormalWeb"/>
        <w:shd w:val="clear" w:color="auto" w:fill="FFFFFF"/>
        <w:spacing w:before="0" w:beforeAutospacing="0" w:after="300" w:afterAutospacing="0"/>
        <w:jc w:val="both"/>
        <w:rPr>
          <w:lang w:val="es-CO"/>
        </w:rPr>
      </w:pP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lastRenderedPageBreak/>
        <w:t>EJEMPLO: SE PUEDEN HACER PAGOS QUE SUPEREN LOS 100 UVT, EN EFECTIVO Y CONSIGNARLOS A UNA CUENTA DEL BENEFICIARIO DEL PAGO Y NO SERÁN SUJETOS DE DESCONOCIMIENTO FISCAL COMO COSTO, DEDUCCIÓN, PASIVO O IMPUESTO DESCONTABLE, SIN PERJUICIO DE LO QUE DICE EL PARÁGRAFO 1 DEL ARTÍCULO 771-5 DEL E.T.” (negrilla fuera de texto).</w:t>
      </w: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Frente al interrogante del consultante, resulta pertinente citar lo establecido en el parágrafo 2 del artículo 771-5 del Estatuto Tributario, que consagra: “</w:t>
      </w:r>
    </w:p>
    <w:p w:rsidR="00BF7434" w:rsidRPr="00BF7434" w:rsidRDefault="00BF7434" w:rsidP="00BF7434">
      <w:pPr>
        <w:pStyle w:val="NormalWeb"/>
        <w:shd w:val="clear" w:color="auto" w:fill="FFFFFF"/>
        <w:spacing w:before="0" w:beforeAutospacing="0" w:after="0" w:afterAutospacing="0"/>
        <w:jc w:val="both"/>
        <w:rPr>
          <w:lang w:val="es-CO"/>
        </w:rPr>
      </w:pPr>
      <w:r w:rsidRPr="00BF7434">
        <w:rPr>
          <w:lang w:val="es-CO"/>
        </w:rPr>
        <w:t>PARÁGRAFO 2o. En todo caso</w:t>
      </w:r>
      <w:r w:rsidRPr="00BF7434">
        <w:rPr>
          <w:rStyle w:val="Textoennegrita"/>
          <w:lang w:val="es-CO"/>
        </w:rPr>
        <w:t>, los pagos individuales realizados por personas jurídicas y las personas naturales que perciban rentas</w:t>
      </w:r>
      <w:r w:rsidRPr="00BF7434">
        <w:rPr>
          <w:lang w:val="es-CO"/>
        </w:rPr>
        <w:t> no laborales de acuerdo a lo dispuesto en este Estatuto, que superen las cien (100) UVT </w:t>
      </w:r>
      <w:r w:rsidRPr="00BF7434">
        <w:rPr>
          <w:rStyle w:val="Textoennegrita"/>
          <w:lang w:val="es-CO"/>
        </w:rPr>
        <w:t>deberán canalizarse a través de los medios financieros, so pena de su desconocimiento fiscal como costo, deducción, pasivo o impuesto descontable en la cédula correspondiente a las rentas no laborales</w:t>
      </w:r>
      <w:r w:rsidRPr="00BF7434">
        <w:rPr>
          <w:lang w:val="es-CO"/>
        </w:rPr>
        <w:t>.” (negrilla fuera de texto).</w:t>
      </w:r>
    </w:p>
    <w:p w:rsidR="00BF7434" w:rsidRPr="00BF7434" w:rsidRDefault="00BF7434" w:rsidP="00BF7434">
      <w:pPr>
        <w:pStyle w:val="NormalWeb"/>
        <w:shd w:val="clear" w:color="auto" w:fill="FFFFFF"/>
        <w:spacing w:before="0" w:beforeAutospacing="0" w:after="300" w:afterAutospacing="0"/>
        <w:jc w:val="both"/>
        <w:rPr>
          <w:lang w:val="es-CO"/>
        </w:rPr>
      </w:pPr>
    </w:p>
    <w:p w:rsidR="00BF7434" w:rsidRPr="00BF7434" w:rsidRDefault="00BF7434" w:rsidP="00BF7434">
      <w:pPr>
        <w:pStyle w:val="NormalWeb"/>
        <w:shd w:val="clear" w:color="auto" w:fill="FFFFFF"/>
        <w:spacing w:before="0" w:beforeAutospacing="0" w:after="300" w:afterAutospacing="0"/>
        <w:jc w:val="both"/>
        <w:rPr>
          <w:lang w:val="es-CO"/>
        </w:rPr>
      </w:pPr>
      <w:r w:rsidRPr="005427D3">
        <w:rPr>
          <w:highlight w:val="green"/>
          <w:lang w:val="es-CO"/>
        </w:rPr>
        <w:t>Pago individual es aquel que puede individualizarse o considerarse como una unidad particular o independiente respecto de un conjunto. No se asimila a los pagos acumulados en un año, ni a los pagos diarios, o a los pagos por transacción, pues en los dos primeros casos consultados (pagos en el año o en el día) el factor o criterio para la denominación es un lapso de tiempo; mientras que, en el último caso, que es el pago por transacción, se involucra la satisfacción de una obligación en la que puede presentarse más de una operación de pago o desembolso.</w:t>
      </w: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En este contexto, la individualización está relacionada con la unidad de la operación de desembolso de recursos para satisfacer una obligación en forma parcial o total en un determinado momento respecto de una persona natural o jurídica.</w:t>
      </w:r>
      <w:bookmarkStart w:id="0" w:name="_GoBack"/>
      <w:bookmarkEnd w:id="0"/>
    </w:p>
    <w:p w:rsidR="00BF7434" w:rsidRPr="00BF7434" w:rsidRDefault="00BF7434" w:rsidP="00BF7434">
      <w:pPr>
        <w:pStyle w:val="NormalWeb"/>
        <w:shd w:val="clear" w:color="auto" w:fill="FFFFFF"/>
        <w:spacing w:before="0" w:beforeAutospacing="0" w:after="0" w:afterAutospacing="0"/>
        <w:jc w:val="both"/>
        <w:rPr>
          <w:lang w:val="es-CO"/>
        </w:rPr>
      </w:pPr>
      <w:r w:rsidRPr="00BF7434">
        <w:rPr>
          <w:lang w:val="es-CO"/>
        </w:rPr>
        <w:t>Así las cosas, </w:t>
      </w:r>
      <w:r w:rsidRPr="00BF7434">
        <w:rPr>
          <w:rStyle w:val="Textoennegrita"/>
          <w:lang w:val="es-CO"/>
        </w:rPr>
        <w:t>el límite para pagos en efectivo individuales realizados por personas jurídicas y los pagos en efectivo recibidos por personas naturales que perciban rentas no laborales es de cien (100) UVT, entendido el límite respecto del pago particular realizado como unidad u operación independiente en relación con otros desembolsos de efectivo.</w:t>
      </w:r>
    </w:p>
    <w:p w:rsidR="00BF7434" w:rsidRPr="00BF7434" w:rsidRDefault="00BF7434" w:rsidP="00BF7434">
      <w:pPr>
        <w:pStyle w:val="NormalWeb"/>
        <w:shd w:val="clear" w:color="auto" w:fill="FFFFFF"/>
        <w:spacing w:before="0" w:beforeAutospacing="0" w:after="0" w:afterAutospacing="0"/>
        <w:jc w:val="both"/>
        <w:rPr>
          <w:rStyle w:val="Textoennegrita"/>
          <w:lang w:val="es-CO"/>
        </w:rPr>
      </w:pPr>
    </w:p>
    <w:p w:rsidR="00BF7434" w:rsidRDefault="00BF7434" w:rsidP="00106029">
      <w:pPr>
        <w:pStyle w:val="NormalWeb"/>
        <w:shd w:val="clear" w:color="auto" w:fill="FFFFFF"/>
        <w:spacing w:before="0" w:beforeAutospacing="0" w:after="0" w:afterAutospacing="0"/>
        <w:jc w:val="both"/>
        <w:rPr>
          <w:lang w:val="es-CO"/>
        </w:rPr>
      </w:pPr>
      <w:r w:rsidRPr="00BF7434">
        <w:rPr>
          <w:rStyle w:val="Textoennegrita"/>
          <w:lang w:val="es-CO"/>
        </w:rPr>
        <w:t>El incumplimiento de este límite en los pagos individuales en efectivo conlleva el desconocimiento fiscal como costo, deducción, pasivo o impuesto descontable en la cédula correspondiente a las rentas no laborales.</w:t>
      </w:r>
    </w:p>
    <w:p w:rsidR="00106029" w:rsidRPr="00BF7434" w:rsidRDefault="00106029" w:rsidP="00106029">
      <w:pPr>
        <w:pStyle w:val="NormalWeb"/>
        <w:shd w:val="clear" w:color="auto" w:fill="FFFFFF"/>
        <w:spacing w:before="0" w:beforeAutospacing="0" w:after="0" w:afterAutospacing="0"/>
        <w:jc w:val="both"/>
        <w:rPr>
          <w:lang w:val="es-CO"/>
        </w:rPr>
      </w:pP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Por tanto, si se realizan pagos individuales en efectivo que superen cien (100) UVT por parte de personas jurídicas o se perciben pagos que superen este monto por parte de personas naturales, dichos recursos deberán canalizarse a través de los medios financieros con el fin que puedan ser reconocidos sus efectos fiscales y no sean objeto de limitación alguna.</w:t>
      </w:r>
    </w:p>
    <w:p w:rsidR="00BF7434" w:rsidRPr="00106029" w:rsidRDefault="00BF7434" w:rsidP="00BF7434">
      <w:pPr>
        <w:pStyle w:val="NormalWeb"/>
        <w:shd w:val="clear" w:color="auto" w:fill="FFFFFF"/>
        <w:spacing w:before="0" w:beforeAutospacing="0" w:after="0" w:afterAutospacing="0"/>
        <w:jc w:val="both"/>
        <w:rPr>
          <w:sz w:val="28"/>
          <w:szCs w:val="28"/>
          <w:lang w:val="es-CO"/>
        </w:rPr>
      </w:pPr>
      <w:r w:rsidRPr="00106029">
        <w:rPr>
          <w:sz w:val="28"/>
          <w:szCs w:val="28"/>
          <w:lang w:val="es-CO"/>
        </w:rPr>
        <w:t>Adicionalmente, </w:t>
      </w:r>
      <w:r w:rsidRPr="00106029">
        <w:rPr>
          <w:rStyle w:val="Textoennegrita"/>
          <w:sz w:val="28"/>
          <w:szCs w:val="28"/>
          <w:lang w:val="es-CO"/>
        </w:rPr>
        <w:t xml:space="preserve">si el pago se realiza a través de una consignación bancaria, a pesar que sea un pago en efectivo, al realizar la consignación se está </w:t>
      </w:r>
      <w:r w:rsidRPr="00106029">
        <w:rPr>
          <w:rStyle w:val="Textoennegrita"/>
          <w:sz w:val="28"/>
          <w:szCs w:val="28"/>
          <w:lang w:val="es-CO"/>
        </w:rPr>
        <w:lastRenderedPageBreak/>
        <w:t>cumpliendo con la condición señalada por el legislador (canalización a través de medios financieros) para obtener la posibilidad de ser reconocido fiscalmente como costo, deducción, pasivo o impuesto descontable en la cédula correspondiente a las rentas no laborales.</w:t>
      </w:r>
    </w:p>
    <w:p w:rsidR="00BF7434" w:rsidRPr="00106029" w:rsidRDefault="00BF7434" w:rsidP="00BF7434">
      <w:pPr>
        <w:pStyle w:val="NormalWeb"/>
        <w:shd w:val="clear" w:color="auto" w:fill="FFFFFF"/>
        <w:spacing w:before="0" w:beforeAutospacing="0" w:after="0" w:afterAutospacing="0"/>
        <w:jc w:val="both"/>
        <w:rPr>
          <w:sz w:val="28"/>
          <w:szCs w:val="28"/>
          <w:lang w:val="es-CO"/>
        </w:rPr>
      </w:pPr>
    </w:p>
    <w:p w:rsidR="00BF7434" w:rsidRPr="00BF7434" w:rsidRDefault="00BF7434" w:rsidP="00BF7434">
      <w:pPr>
        <w:pStyle w:val="NormalWeb"/>
        <w:shd w:val="clear" w:color="auto" w:fill="FFFFFF"/>
        <w:spacing w:before="0" w:beforeAutospacing="0" w:after="300" w:afterAutospacing="0"/>
        <w:jc w:val="both"/>
        <w:rPr>
          <w:lang w:val="es-CO"/>
        </w:rPr>
      </w:pPr>
      <w:r w:rsidRPr="00BF7434">
        <w:rPr>
          <w:lang w:val="es-CO"/>
        </w:rPr>
        <w:t>Atentamente,</w:t>
      </w:r>
    </w:p>
    <w:p w:rsidR="00BF7434" w:rsidRPr="00BF7434" w:rsidRDefault="00BF7434" w:rsidP="00BF7434">
      <w:pPr>
        <w:pStyle w:val="NormalWeb"/>
        <w:shd w:val="clear" w:color="auto" w:fill="FFFFFF"/>
        <w:spacing w:before="0" w:beforeAutospacing="0" w:after="0" w:afterAutospacing="0"/>
        <w:jc w:val="both"/>
        <w:rPr>
          <w:rStyle w:val="Textoennegrita"/>
          <w:lang w:val="es-CO"/>
        </w:rPr>
      </w:pPr>
      <w:r w:rsidRPr="00BF7434">
        <w:rPr>
          <w:rStyle w:val="Textoennegrita"/>
          <w:lang w:val="es-CO"/>
        </w:rPr>
        <w:t>PEDRO PABLO CONTRERAS CAMARGO</w:t>
      </w:r>
    </w:p>
    <w:p w:rsidR="00BF7434" w:rsidRPr="00BF7434" w:rsidRDefault="00BF7434" w:rsidP="00BF7434">
      <w:pPr>
        <w:pStyle w:val="NormalWeb"/>
        <w:shd w:val="clear" w:color="auto" w:fill="FFFFFF"/>
        <w:spacing w:before="0" w:beforeAutospacing="0" w:after="0" w:afterAutospacing="0"/>
        <w:jc w:val="both"/>
        <w:rPr>
          <w:lang w:val="es-CO"/>
        </w:rPr>
      </w:pPr>
      <w:r w:rsidRPr="00BF7434">
        <w:rPr>
          <w:lang w:val="es-CO"/>
        </w:rPr>
        <w:br/>
        <w:t>Subdirector de Gestión Normativa y Doctrina</w:t>
      </w:r>
    </w:p>
    <w:p w:rsidR="00147980" w:rsidRPr="00BF7434" w:rsidRDefault="00106029" w:rsidP="00BF7434">
      <w:pPr>
        <w:rPr>
          <w:rFonts w:cs="Times New Roman"/>
          <w:color w:val="auto"/>
          <w:szCs w:val="24"/>
          <w:lang w:val="es-CO"/>
        </w:rPr>
      </w:pPr>
      <w:r>
        <w:rPr>
          <w:rFonts w:cs="Times New Roman"/>
          <w:color w:val="auto"/>
          <w:szCs w:val="24"/>
          <w:lang w:val="es-CO"/>
        </w:rPr>
        <w:t>_________________________________________________________________________</w:t>
      </w:r>
    </w:p>
    <w:sectPr w:rsidR="00147980" w:rsidRPr="00BF7434" w:rsidSect="00BF743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34"/>
    <w:rsid w:val="00106029"/>
    <w:rsid w:val="00147980"/>
    <w:rsid w:val="005427D3"/>
    <w:rsid w:val="00B66046"/>
    <w:rsid w:val="00BF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9547D-4F9E-4098-99EF-420494E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F7434"/>
    <w:pPr>
      <w:spacing w:before="100" w:beforeAutospacing="1" w:after="100" w:afterAutospacing="1" w:line="240" w:lineRule="auto"/>
      <w:jc w:val="left"/>
    </w:pPr>
    <w:rPr>
      <w:rFonts w:eastAsia="Times New Roman" w:cs="Times New Roman"/>
      <w:color w:val="auto"/>
      <w:szCs w:val="24"/>
    </w:rPr>
  </w:style>
  <w:style w:type="character" w:styleId="Textoennegrita">
    <w:name w:val="Strong"/>
    <w:basedOn w:val="Fuentedeprrafopredeter"/>
    <w:uiPriority w:val="22"/>
    <w:qFormat/>
    <w:rsid w:val="00BF7434"/>
    <w:rPr>
      <w:b/>
      <w:bCs/>
    </w:rPr>
  </w:style>
  <w:style w:type="character" w:styleId="Hipervnculo">
    <w:name w:val="Hyperlink"/>
    <w:basedOn w:val="Fuentedeprrafopredeter"/>
    <w:uiPriority w:val="99"/>
    <w:semiHidden/>
    <w:unhideWhenUsed/>
    <w:rsid w:val="00BF7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2018-07-20T01:33:00Z</dcterms:created>
  <dcterms:modified xsi:type="dcterms:W3CDTF">2018-10-25T00:16:00Z</dcterms:modified>
</cp:coreProperties>
</file>