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52" w:rsidRPr="009B4D52" w:rsidRDefault="009B4D52" w:rsidP="009B4D52">
      <w:pPr>
        <w:spacing w:line="240" w:lineRule="auto"/>
        <w:jc w:val="center"/>
        <w:rPr>
          <w:rFonts w:ascii="Arial" w:eastAsia="Times New Roman" w:hAnsi="Arial"/>
          <w:color w:val="000000"/>
          <w:sz w:val="18"/>
          <w:szCs w:val="18"/>
          <w:lang w:val="es-CO"/>
        </w:rPr>
      </w:pPr>
      <w:r w:rsidRPr="009B4D52">
        <w:rPr>
          <w:rFonts w:ascii="Segoe UI" w:eastAsia="Times New Roman" w:hAnsi="Segoe UI" w:cs="Segoe UI"/>
          <w:b/>
          <w:bCs/>
          <w:color w:val="0000FF"/>
          <w:sz w:val="28"/>
          <w:szCs w:val="28"/>
          <w:lang w:val="es-CO"/>
        </w:rPr>
        <w:t>Concepto Nº 171</w:t>
      </w:r>
    </w:p>
    <w:p w:rsidR="009B4D52" w:rsidRPr="009B4D52" w:rsidRDefault="009B4D52" w:rsidP="009B4D52">
      <w:pPr>
        <w:spacing w:line="240" w:lineRule="auto"/>
        <w:jc w:val="center"/>
        <w:rPr>
          <w:rFonts w:ascii="Arial" w:eastAsia="Times New Roman" w:hAnsi="Arial"/>
          <w:color w:val="000000"/>
          <w:sz w:val="18"/>
          <w:szCs w:val="18"/>
          <w:lang w:val="es-CO"/>
        </w:rPr>
      </w:pPr>
      <w:r w:rsidRPr="009B4D52">
        <w:rPr>
          <w:rFonts w:ascii="Segoe UI" w:eastAsia="Times New Roman" w:hAnsi="Segoe UI" w:cs="Segoe UI"/>
          <w:b/>
          <w:bCs/>
          <w:color w:val="0000FF"/>
          <w:sz w:val="28"/>
          <w:szCs w:val="28"/>
          <w:lang w:val="es-CO"/>
        </w:rPr>
        <w:t>26-03-2018</w:t>
      </w:r>
    </w:p>
    <w:p w:rsidR="009B4D52" w:rsidRPr="009B4D52" w:rsidRDefault="009B4D52" w:rsidP="009B4D52">
      <w:pPr>
        <w:spacing w:line="240" w:lineRule="auto"/>
        <w:jc w:val="center"/>
        <w:rPr>
          <w:rFonts w:ascii="Arial" w:eastAsia="Times New Roman" w:hAnsi="Arial"/>
          <w:color w:val="000000"/>
          <w:sz w:val="18"/>
          <w:szCs w:val="18"/>
          <w:lang w:val="es-CO"/>
        </w:rPr>
      </w:pPr>
      <w:r w:rsidRPr="009B4D52">
        <w:rPr>
          <w:rFonts w:ascii="Segoe UI" w:eastAsia="Times New Roman" w:hAnsi="Segoe UI" w:cs="Segoe UI"/>
          <w:b/>
          <w:bCs/>
          <w:color w:val="0000FF"/>
          <w:sz w:val="28"/>
          <w:szCs w:val="28"/>
          <w:lang w:val="es-CO"/>
        </w:rPr>
        <w:t>Consejo Técnico de la Contaduría Pública</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FF"/>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FF"/>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Bogotá, D.C.</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Señora</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LUZ MARINA ROJAS MURCIA</w:t>
      </w:r>
    </w:p>
    <w:p w:rsidR="009B4D52" w:rsidRPr="009B4D52" w:rsidRDefault="009B4D52" w:rsidP="009B4D52">
      <w:pPr>
        <w:spacing w:line="240" w:lineRule="auto"/>
        <w:rPr>
          <w:rFonts w:ascii="Arial" w:eastAsia="Times New Roman" w:hAnsi="Arial"/>
          <w:color w:val="000000"/>
          <w:sz w:val="18"/>
          <w:szCs w:val="18"/>
          <w:lang w:val="es-CO"/>
        </w:rPr>
      </w:pPr>
      <w:hyperlink r:id="rId4" w:history="1">
        <w:r w:rsidRPr="009B4D52">
          <w:rPr>
            <w:rFonts w:ascii="Segoe UI" w:eastAsia="Times New Roman" w:hAnsi="Segoe UI" w:cs="Segoe UI"/>
            <w:color w:val="0089E1"/>
            <w:sz w:val="18"/>
            <w:szCs w:val="18"/>
            <w:u w:val="single"/>
            <w:lang w:val="es-CO"/>
          </w:rPr>
          <w:t>rojas.luzmarina@gmail.com</w:t>
        </w:r>
      </w:hyperlink>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Asunto: </w:t>
      </w:r>
      <w:r w:rsidRPr="009B4D52">
        <w:rPr>
          <w:rFonts w:ascii="Segoe UI" w:eastAsia="Times New Roman" w:hAnsi="Segoe UI" w:cs="Segoe UI"/>
          <w:color w:val="000000"/>
          <w:sz w:val="18"/>
          <w:szCs w:val="18"/>
          <w:lang w:val="es-CO"/>
        </w:rPr>
        <w:t>Consulta 1-INFO-18-002893</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2246"/>
        <w:gridCol w:w="3853"/>
      </w:tblGrid>
      <w:tr w:rsidR="009B4D52" w:rsidRPr="009B4D52" w:rsidTr="009B4D52">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b/>
                <w:bCs/>
                <w:color w:val="auto"/>
                <w:sz w:val="20"/>
                <w:szCs w:val="20"/>
                <w:lang w:val="es-CO"/>
              </w:rPr>
              <w:t>REFERENCIA:</w:t>
            </w:r>
          </w:p>
        </w:tc>
      </w:tr>
      <w:tr w:rsidR="009B4D52" w:rsidRPr="009B4D52" w:rsidTr="009B4D52">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23 de 02 de 2018</w:t>
            </w:r>
          </w:p>
        </w:tc>
      </w:tr>
      <w:tr w:rsidR="009B4D52" w:rsidRPr="009B4D52" w:rsidTr="009B4D52">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lang w:val="es-CO"/>
              </w:rPr>
            </w:pPr>
            <w:r w:rsidRPr="009B4D52">
              <w:rPr>
                <w:rFonts w:ascii="Segoe UI" w:eastAsia="Times New Roman" w:hAnsi="Segoe UI" w:cs="Segoe UI"/>
                <w:color w:val="auto"/>
                <w:sz w:val="20"/>
                <w:szCs w:val="20"/>
                <w:lang w:val="es-CO"/>
              </w:rPr>
              <w:t>Consejo Técnico de la Contaduría Pública</w:t>
            </w:r>
          </w:p>
        </w:tc>
      </w:tr>
      <w:tr w:rsidR="009B4D52" w:rsidRPr="009B4D52" w:rsidTr="009B4D52">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2018-171-CONSULTA</w:t>
            </w:r>
          </w:p>
        </w:tc>
      </w:tr>
      <w:tr w:rsidR="009B4D52" w:rsidRPr="009B4D52" w:rsidTr="009B4D52">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rPr>
            </w:pPr>
            <w:r w:rsidRPr="009B4D52">
              <w:rPr>
                <w:rFonts w:ascii="Segoe UI" w:eastAsia="Times New Roman" w:hAnsi="Segoe UI" w:cs="Segoe UI"/>
                <w:color w:val="auto"/>
                <w:sz w:val="20"/>
                <w:szCs w:val="20"/>
                <w:lang w:val="es-CO"/>
              </w:rPr>
              <w:t>Impuesto diferido</w:t>
            </w:r>
          </w:p>
        </w:tc>
      </w:tr>
    </w:tbl>
    <w:p w:rsidR="009B4D52" w:rsidRPr="009B4D52" w:rsidRDefault="009B4D52" w:rsidP="009B4D52">
      <w:pPr>
        <w:spacing w:line="240" w:lineRule="auto"/>
        <w:rPr>
          <w:rFonts w:ascii="Arial" w:eastAsia="Times New Roman" w:hAnsi="Arial"/>
          <w:color w:val="000000"/>
          <w:sz w:val="18"/>
          <w:szCs w:val="18"/>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y 2170 de 2017,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8769"/>
      </w:tblGrid>
      <w:tr w:rsidR="009B4D52" w:rsidRPr="009B4D52" w:rsidTr="009B4D52">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4D52" w:rsidRPr="009B4D52" w:rsidRDefault="009B4D52" w:rsidP="009B4D52">
            <w:pPr>
              <w:spacing w:line="240" w:lineRule="auto"/>
              <w:rPr>
                <w:rFonts w:ascii="Arial" w:eastAsia="Times New Roman" w:hAnsi="Arial"/>
                <w:color w:val="auto"/>
                <w:szCs w:val="24"/>
                <w:lang w:val="es-CO"/>
              </w:rPr>
            </w:pPr>
            <w:r w:rsidRPr="009B4D52">
              <w:rPr>
                <w:rFonts w:ascii="Segoe UI" w:eastAsia="Times New Roman" w:hAnsi="Segoe UI" w:cs="Segoe UI"/>
                <w:b/>
                <w:bCs/>
                <w:i/>
                <w:iCs/>
                <w:color w:val="auto"/>
                <w:sz w:val="20"/>
                <w:szCs w:val="20"/>
                <w:lang w:val="es-CO"/>
              </w:rPr>
              <w:t>RESUMEN</w:t>
            </w:r>
          </w:p>
          <w:p w:rsidR="009B4D52" w:rsidRPr="009B4D52" w:rsidRDefault="009B4D52" w:rsidP="009B4D52">
            <w:pPr>
              <w:spacing w:line="240" w:lineRule="auto"/>
              <w:rPr>
                <w:rFonts w:ascii="Arial" w:eastAsia="Times New Roman" w:hAnsi="Arial"/>
                <w:color w:val="auto"/>
                <w:szCs w:val="24"/>
                <w:lang w:val="es-CO"/>
              </w:rPr>
            </w:pPr>
            <w:r w:rsidRPr="009B4D52">
              <w:rPr>
                <w:rFonts w:ascii="Segoe UI" w:eastAsia="Times New Roman" w:hAnsi="Segoe UI" w:cs="Segoe UI"/>
                <w:i/>
                <w:iCs/>
                <w:color w:val="auto"/>
                <w:sz w:val="20"/>
                <w:szCs w:val="20"/>
                <w:lang w:val="es-CO"/>
              </w:rPr>
              <w:t>Aunque la entidad no piense vender sus activos en el futuro previsible, el propósito de la norma de impuestos diferidos es reconocer el efecto fiscal futuro la diferencia ente las bases fiscales y contables, y reflejar en la información financiera el efecto del impuesto a las ganancias sobre tales diferencias.</w:t>
            </w:r>
          </w:p>
        </w:tc>
      </w:tr>
    </w:tbl>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CONSULTA (TEXTUAL)</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De acuerdo a lo establecido en las disposiciones contenidas en el párrafo 29 del Decreto 3022/13, que fueron modificadas por el DUR 2946 de 2015, y respecto a la sección 29 </w:t>
      </w:r>
      <w:r w:rsidRPr="009B4D52">
        <w:rPr>
          <w:rFonts w:ascii="Segoe UI" w:eastAsia="Times New Roman" w:hAnsi="Segoe UI" w:cs="Segoe UI"/>
          <w:b/>
          <w:bCs/>
          <w:i/>
          <w:iCs/>
          <w:color w:val="000000"/>
          <w:sz w:val="18"/>
          <w:szCs w:val="18"/>
          <w:lang w:val="es-CO"/>
        </w:rPr>
        <w:t>Impuesto a las Ganancias- </w:t>
      </w:r>
      <w:r w:rsidRPr="009B4D52">
        <w:rPr>
          <w:rFonts w:ascii="Segoe UI" w:eastAsia="Times New Roman" w:hAnsi="Segoe UI" w:cs="Segoe UI"/>
          <w:i/>
          <w:iCs/>
          <w:color w:val="000000"/>
          <w:sz w:val="18"/>
          <w:szCs w:val="18"/>
          <w:lang w:val="es-CO"/>
        </w:rPr>
        <w:t>fueron añadidos párrafos y encabezamientos, en el Anexo Técnico 2.1. del mismo decreto, los cuales me permito transcribir textualmente:</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“La Sección 29 ha sido revisada. Se añaden los párrafos 29.1 a 29.41 y sus encabezamientos correspondientes.</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29.13 Ejemplos de situaciones en las que surgen diferencias temporarias incluyen:</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(a) los activos identificables adquiridos y pasivos asumidos en una combinación de negocios se reconocen a sus valores razonables de acuerdo con la Sección 19 Combinaciones de negocios y Plusvalía, pero no se realiza un ajuste equivalente a efectos fiscales (por ejemplo, la base fiscal de un activo puede mantenerse al costo de propietario anterior). El activo o pasivo por impuestos diferidos resultante afecta al importe de la plusvalía que reconoce la entidad.</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(b) activos que se miden nuevamente, sin hacer un ajuste similar a efectos fiscales. Por ejemplo, esta NIIF permite o requiere que ciertos activos se midan nuevamente a valor razonable o se revalúen (por ejemplo, la Sección 1) Propiedades de Inversión y la Sección 17 Propiedades. Planta Equipo).</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xml:space="preserve">(c) la plusvalía surge en una combinación de negocios, por ejemplo, la base fiscal de la plusvalía será cero si </w:t>
      </w:r>
      <w:proofErr w:type="gramStart"/>
      <w:r w:rsidRPr="009B4D52">
        <w:rPr>
          <w:rFonts w:ascii="Segoe UI" w:eastAsia="Times New Roman" w:hAnsi="Segoe UI" w:cs="Segoe UI"/>
          <w:i/>
          <w:iCs/>
          <w:color w:val="000000"/>
          <w:sz w:val="18"/>
          <w:szCs w:val="18"/>
          <w:lang w:val="es-CO"/>
        </w:rPr>
        <w:t>la autoridades fiscales</w:t>
      </w:r>
      <w:proofErr w:type="gramEnd"/>
      <w:r w:rsidRPr="009B4D52">
        <w:rPr>
          <w:rFonts w:ascii="Segoe UI" w:eastAsia="Times New Roman" w:hAnsi="Segoe UI" w:cs="Segoe UI"/>
          <w:i/>
          <w:iCs/>
          <w:color w:val="000000"/>
          <w:sz w:val="18"/>
          <w:szCs w:val="18"/>
          <w:lang w:val="es-CO"/>
        </w:rPr>
        <w:t xml:space="preserve"> no permiten la amortización o los deterioros de valor de la plusvalía como un gasto deducible cuando se determina la ganancia fiscal y no permite que se trate el costo de la plusvalía como un gasto deducible en el momento de la disposición de la subsidiaria.</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lastRenderedPageBreak/>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(d) la base fiscal de un activo o pasivo difiere, en el momento de su reconocimiento inicial, de su importe en libro inicial.</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(e) el importe en libros de las inversiones en subsidiarias, sucursales y asociadas, o el de la participación en negocio conjuntos, difiere de la base fiscal de la inversión o participación.</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Ninguna de las diferencias temporarias anteriores dará lugar a activos y pasivos por impuestos diferidos </w:t>
      </w:r>
      <w:r w:rsidRPr="009B4D52">
        <w:rPr>
          <w:rFonts w:ascii="Segoe UI" w:eastAsia="Times New Roman" w:hAnsi="Segoe UI" w:cs="Segoe UI"/>
          <w:i/>
          <w:iCs/>
          <w:color w:val="000000"/>
          <w:sz w:val="18"/>
          <w:szCs w:val="18"/>
          <w:lang w:val="es-CO"/>
        </w:rPr>
        <w:t>(véanse los párrafos 29.14 a 29.16). </w:t>
      </w:r>
      <w:r w:rsidRPr="009B4D52">
        <w:rPr>
          <w:rFonts w:ascii="Segoe UI" w:eastAsia="Times New Roman" w:hAnsi="Segoe UI" w:cs="Segoe UI"/>
          <w:b/>
          <w:bCs/>
          <w:i/>
          <w:iCs/>
          <w:color w:val="000000"/>
          <w:sz w:val="18"/>
          <w:szCs w:val="18"/>
          <w:lang w:val="es-CO"/>
        </w:rPr>
        <w:t>(Resaltado Nuestro)</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i/>
          <w:iCs/>
          <w:color w:val="000000"/>
          <w:sz w:val="18"/>
          <w:szCs w:val="18"/>
          <w:lang w:val="es-CO"/>
        </w:rPr>
        <w:t>PREGUNTA: </w:t>
      </w:r>
      <w:proofErr w:type="gramStart"/>
      <w:r w:rsidRPr="009B4D52">
        <w:rPr>
          <w:rFonts w:ascii="Segoe UI" w:eastAsia="Times New Roman" w:hAnsi="Segoe UI" w:cs="Segoe UI"/>
          <w:i/>
          <w:iCs/>
          <w:color w:val="000000"/>
          <w:sz w:val="18"/>
          <w:szCs w:val="18"/>
          <w:lang w:val="es-CO"/>
        </w:rPr>
        <w:t>Se debe calcular y registrar el impuesto diferido por la diferencia entre el valor registrado en la contabilidad a Valor Razonable y la base fiscal que corresponde al costo del Bien cuando no hay presunción refutable de venta y se espera recuperar el importe en libros de un activo a través (sic) del uso (</w:t>
      </w:r>
      <w:proofErr w:type="spellStart"/>
      <w:r w:rsidRPr="009B4D52">
        <w:rPr>
          <w:rFonts w:ascii="Segoe UI" w:eastAsia="Times New Roman" w:hAnsi="Segoe UI" w:cs="Segoe UI"/>
          <w:i/>
          <w:iCs/>
          <w:color w:val="000000"/>
          <w:sz w:val="18"/>
          <w:szCs w:val="18"/>
          <w:lang w:val="es-CO"/>
        </w:rPr>
        <w:t>depreciacion</w:t>
      </w:r>
      <w:proofErr w:type="spellEnd"/>
      <w:r w:rsidRPr="009B4D52">
        <w:rPr>
          <w:rFonts w:ascii="Segoe UI" w:eastAsia="Times New Roman" w:hAnsi="Segoe UI" w:cs="Segoe UI"/>
          <w:i/>
          <w:iCs/>
          <w:color w:val="000000"/>
          <w:sz w:val="18"/>
          <w:szCs w:val="18"/>
          <w:lang w:val="es-CO"/>
        </w:rPr>
        <w:t>) (sic), sin afectar las ganancias fiscales?</w:t>
      </w:r>
      <w:proofErr w:type="gramEnd"/>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CONSIDERACIONES Y RESPUESTA</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Dentro del carácter ya indicado, las respuestas del CTCP son de naturaleza general y abstracta, dado que su misión no consiste en resolver problemas específicos que correspondan a un caso particular.</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xml:space="preserve">La respuesta a su pregunta es </w:t>
      </w:r>
      <w:proofErr w:type="gramStart"/>
      <w:r w:rsidRPr="009B4D52">
        <w:rPr>
          <w:rFonts w:ascii="Segoe UI" w:eastAsia="Times New Roman" w:hAnsi="Segoe UI" w:cs="Segoe UI"/>
          <w:color w:val="000000"/>
          <w:sz w:val="18"/>
          <w:szCs w:val="18"/>
          <w:lang w:val="es-CO"/>
        </w:rPr>
        <w:t>que</w:t>
      </w:r>
      <w:proofErr w:type="gramEnd"/>
      <w:r w:rsidRPr="009B4D52">
        <w:rPr>
          <w:rFonts w:ascii="Segoe UI" w:eastAsia="Times New Roman" w:hAnsi="Segoe UI" w:cs="Segoe UI"/>
          <w:color w:val="000000"/>
          <w:sz w:val="18"/>
          <w:szCs w:val="18"/>
          <w:lang w:val="es-CO"/>
        </w:rPr>
        <w:t xml:space="preserve"> si se debe calcular el impuesto diferido cuando la entidad mide sus elementos de propiedad, planta y equipo por el método de la revaluación, o si mide elementos de activos biológicos, activos financieros y propiedades de inversión por su valor razonable, siempre que el importe en libros del activo (remedido por el método de la evaluación o por sus valores razonable) difiera de su base fiscal, incluso así no se tenga pensado vender el activo.</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El impuesto diferido de conformidad con el párrafo 29.2 de la NIIF para las PYMES corresponde con: </w:t>
      </w:r>
      <w:r w:rsidRPr="009B4D52">
        <w:rPr>
          <w:rFonts w:ascii="Segoe UI" w:eastAsia="Times New Roman" w:hAnsi="Segoe UI" w:cs="Segoe UI"/>
          <w:i/>
          <w:iCs/>
          <w:color w:val="000000"/>
          <w:sz w:val="18"/>
          <w:szCs w:val="18"/>
          <w:lang w:val="es-CO"/>
        </w:rPr>
        <w:t>“El impuesto diferido es el impuesto por pagar o por recuperar en períodos futuros, generalmente como resultado de que la entidad recupera o liquida sus activos y pasivos por su importe en libros actual, y el efecto fiscal de la compensación de pérdidas o créditos fiscales no utilizados hasta el momento procedentes de períodos anteriores”.</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De acuerdo con lo anterior, si una entidad mide un activo por el precio que sería recibido por vender un activo en una transacción ordenada entre participantes de mercado en la fecha de medición</w:t>
      </w:r>
      <w:bookmarkStart w:id="0" w:name="_ftnref1"/>
      <w:r w:rsidRPr="009B4D52">
        <w:rPr>
          <w:rFonts w:ascii="Segoe UI" w:eastAsia="Times New Roman" w:hAnsi="Segoe UI" w:cs="Segoe UI"/>
          <w:color w:val="000000"/>
          <w:sz w:val="18"/>
          <w:szCs w:val="18"/>
          <w:lang w:val="es-CO"/>
        </w:rPr>
        <w:fldChar w:fldCharType="begin"/>
      </w:r>
      <w:r w:rsidRPr="009B4D52">
        <w:rPr>
          <w:rFonts w:ascii="Segoe UI" w:eastAsia="Times New Roman" w:hAnsi="Segoe UI" w:cs="Segoe UI"/>
          <w:color w:val="000000"/>
          <w:sz w:val="18"/>
          <w:szCs w:val="18"/>
          <w:lang w:val="es-CO"/>
        </w:rPr>
        <w:instrText xml:space="preserve"> HYPERLINK "https://www.ceta.org.co/html/vista_de_un_documento.asp?DocumentoID=34389" \l "_ftn1" \o "" </w:instrText>
      </w:r>
      <w:r w:rsidRPr="009B4D52">
        <w:rPr>
          <w:rFonts w:ascii="Segoe UI" w:eastAsia="Times New Roman" w:hAnsi="Segoe UI" w:cs="Segoe UI"/>
          <w:color w:val="000000"/>
          <w:sz w:val="18"/>
          <w:szCs w:val="18"/>
          <w:lang w:val="es-CO"/>
        </w:rPr>
        <w:fldChar w:fldCharType="separate"/>
      </w:r>
      <w:r w:rsidRPr="009B4D52">
        <w:rPr>
          <w:rFonts w:ascii="Segoe UI" w:eastAsia="Times New Roman" w:hAnsi="Segoe UI" w:cs="Segoe UI"/>
          <w:color w:val="0563C1"/>
          <w:sz w:val="22"/>
          <w:lang w:val="es-CO"/>
        </w:rPr>
        <w:t>[1]</w:t>
      </w:r>
      <w:r w:rsidRPr="009B4D52">
        <w:rPr>
          <w:rFonts w:ascii="Segoe UI" w:eastAsia="Times New Roman" w:hAnsi="Segoe UI" w:cs="Segoe UI"/>
          <w:color w:val="000000"/>
          <w:sz w:val="18"/>
          <w:szCs w:val="18"/>
          <w:lang w:val="es-CO"/>
        </w:rPr>
        <w:fldChar w:fldCharType="end"/>
      </w:r>
      <w:bookmarkEnd w:id="0"/>
      <w:r w:rsidRPr="009B4D52">
        <w:rPr>
          <w:rFonts w:ascii="Segoe UI" w:eastAsia="Times New Roman" w:hAnsi="Segoe UI" w:cs="Segoe UI"/>
          <w:color w:val="000000"/>
          <w:sz w:val="18"/>
          <w:szCs w:val="18"/>
          <w:lang w:val="es-CO"/>
        </w:rPr>
        <w:t>, la recuperación en períodos futuros del importe en libros se presume a través de su venta</w:t>
      </w:r>
      <w:bookmarkStart w:id="1" w:name="_ftnref2"/>
      <w:r w:rsidRPr="009B4D52">
        <w:rPr>
          <w:rFonts w:ascii="Segoe UI" w:eastAsia="Times New Roman" w:hAnsi="Segoe UI" w:cs="Segoe UI"/>
          <w:color w:val="000000"/>
          <w:sz w:val="18"/>
          <w:szCs w:val="18"/>
          <w:lang w:val="es-CO"/>
        </w:rPr>
        <w:fldChar w:fldCharType="begin"/>
      </w:r>
      <w:r w:rsidRPr="009B4D52">
        <w:rPr>
          <w:rFonts w:ascii="Segoe UI" w:eastAsia="Times New Roman" w:hAnsi="Segoe UI" w:cs="Segoe UI"/>
          <w:color w:val="000000"/>
          <w:sz w:val="18"/>
          <w:szCs w:val="18"/>
          <w:lang w:val="es-CO"/>
        </w:rPr>
        <w:instrText xml:space="preserve"> HYPERLINK "https://www.ceta.org.co/html/vista_de_un_documento.asp?DocumentoID=34389" \l "_ftn2" \o "" </w:instrText>
      </w:r>
      <w:r w:rsidRPr="009B4D52">
        <w:rPr>
          <w:rFonts w:ascii="Segoe UI" w:eastAsia="Times New Roman" w:hAnsi="Segoe UI" w:cs="Segoe UI"/>
          <w:color w:val="000000"/>
          <w:sz w:val="18"/>
          <w:szCs w:val="18"/>
          <w:lang w:val="es-CO"/>
        </w:rPr>
        <w:fldChar w:fldCharType="separate"/>
      </w:r>
      <w:r w:rsidRPr="009B4D52">
        <w:rPr>
          <w:rFonts w:ascii="Segoe UI" w:eastAsia="Times New Roman" w:hAnsi="Segoe UI" w:cs="Segoe UI"/>
          <w:color w:val="0563C1"/>
          <w:sz w:val="22"/>
          <w:lang w:val="es-CO"/>
        </w:rPr>
        <w:t>[2]</w:t>
      </w:r>
      <w:r w:rsidRPr="009B4D52">
        <w:rPr>
          <w:rFonts w:ascii="Segoe UI" w:eastAsia="Times New Roman" w:hAnsi="Segoe UI" w:cs="Segoe UI"/>
          <w:color w:val="000000"/>
          <w:sz w:val="18"/>
          <w:szCs w:val="18"/>
          <w:lang w:val="es-CO"/>
        </w:rPr>
        <w:fldChar w:fldCharType="end"/>
      </w:r>
      <w:bookmarkEnd w:id="1"/>
      <w:r w:rsidRPr="009B4D52">
        <w:rPr>
          <w:rFonts w:ascii="Segoe UI" w:eastAsia="Times New Roman" w:hAnsi="Segoe UI" w:cs="Segoe UI"/>
          <w:color w:val="000000"/>
          <w:sz w:val="18"/>
          <w:szCs w:val="18"/>
          <w:lang w:val="es-CO"/>
        </w:rPr>
        <w:t> y se debe calcular el correspondiente impuesto diferido, siempre que en el futuro existieren consecuencias fiscales derivadas de la venta del mismo.</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Como referencia de lo anterior, la NIC 12, impuesto a las ganancias, establece lo siguiente en el párrafo 20:</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La diferencia entre el importe en libros de un activo revaluado y su base fiscal, es una diferencia temporaria, y da lugar a un activo o pasivo por impuestos diferidos. Esto se cumple incluso cuando:</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(a) la entidad no desea disponer del activo. En estos casos, el importe en libros del activo se recuperará mediante el uso, lo que generará beneficios fiscales por encima de la depreciación deducible fiscalmente en períodos futuros; o</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(b) se difiera el pago de impuestos sobre las ganancias, a condición de que el importe de la disposición de los activos se reinvierta en otros similares.</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 </w:t>
      </w:r>
    </w:p>
    <w:p w:rsidR="009B4D52" w:rsidRPr="009B4D52" w:rsidRDefault="009B4D52" w:rsidP="009B4D52">
      <w:pPr>
        <w:spacing w:line="240" w:lineRule="auto"/>
        <w:ind w:left="180"/>
        <w:rPr>
          <w:rFonts w:ascii="Arial" w:eastAsia="Times New Roman" w:hAnsi="Arial"/>
          <w:color w:val="000000"/>
          <w:sz w:val="18"/>
          <w:szCs w:val="18"/>
          <w:lang w:val="es-CO"/>
        </w:rPr>
      </w:pPr>
      <w:r w:rsidRPr="009B4D52">
        <w:rPr>
          <w:rFonts w:ascii="Segoe UI" w:eastAsia="Times New Roman" w:hAnsi="Segoe UI" w:cs="Segoe UI"/>
          <w:i/>
          <w:iCs/>
          <w:color w:val="000000"/>
          <w:sz w:val="18"/>
          <w:szCs w:val="18"/>
          <w:lang w:val="es-CO"/>
        </w:rPr>
        <w:t>En estos casos el impuesto se acabará pagando cuando se vendan los nuevos activos, o bien a medida que vayan siendo utilizados”.</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En conclusión, aunque la entidad no piense vender sus activos en un futuro previsible, el propósito de la norma de impuestos diferidos es reconocer el efecto fiscal futuro de la diferencia entre las bases fiscales y contables, y reflejar en la información financiera el efecto del impuesto a las ganancias sobre tales diferencias.</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xml:space="preserve">En los términos anteriores se absuelve la consulta, indicando </w:t>
      </w:r>
      <w:proofErr w:type="gramStart"/>
      <w:r w:rsidRPr="009B4D52">
        <w:rPr>
          <w:rFonts w:ascii="Segoe UI" w:eastAsia="Times New Roman" w:hAnsi="Segoe UI" w:cs="Segoe UI"/>
          <w:color w:val="000000"/>
          <w:sz w:val="18"/>
          <w:szCs w:val="18"/>
          <w:lang w:val="es-CO"/>
        </w:rPr>
        <w:t>que</w:t>
      </w:r>
      <w:proofErr w:type="gramEnd"/>
      <w:r w:rsidRPr="009B4D52">
        <w:rPr>
          <w:rFonts w:ascii="Segoe UI" w:eastAsia="Times New Roman" w:hAnsi="Segoe UI" w:cs="Segoe UI"/>
          <w:color w:val="000000"/>
          <w:sz w:val="18"/>
          <w:szCs w:val="18"/>
          <w:lang w:val="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el concepto posterior modifica a los que se hayan expedido con anterioridad, del mismo tema, así no se haga la referencia específica en el documento.</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Cordialmente,</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lastRenderedPageBreak/>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 </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b/>
          <w:bCs/>
          <w:color w:val="000000"/>
          <w:sz w:val="18"/>
          <w:szCs w:val="18"/>
          <w:lang w:val="es-CO"/>
        </w:rPr>
        <w:t>LEONARDO VARÓN GARCÍA</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18"/>
          <w:szCs w:val="18"/>
          <w:lang w:val="es-CO"/>
        </w:rPr>
        <w:t>Consejero CTCP</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Arial" w:eastAsia="Times New Roman" w:hAnsi="Arial"/>
          <w:color w:val="000000"/>
          <w:sz w:val="18"/>
          <w:szCs w:val="18"/>
          <w:lang w:val="es-CO"/>
        </w:rPr>
        <w:br w:type="textWrapping" w:clear="all"/>
      </w:r>
    </w:p>
    <w:p w:rsidR="009B4D52" w:rsidRPr="009B4D52" w:rsidRDefault="009B4D52" w:rsidP="009B4D52">
      <w:pPr>
        <w:spacing w:line="240" w:lineRule="auto"/>
        <w:rPr>
          <w:rFonts w:ascii="Arial" w:eastAsia="Times New Roman" w:hAnsi="Arial"/>
          <w:color w:val="000000"/>
          <w:sz w:val="18"/>
          <w:szCs w:val="18"/>
        </w:rPr>
      </w:pPr>
      <w:r w:rsidRPr="009B4D52">
        <w:rPr>
          <w:rFonts w:ascii="Arial" w:eastAsia="Times New Roman" w:hAnsi="Arial"/>
          <w:color w:val="000000"/>
          <w:sz w:val="18"/>
          <w:szCs w:val="18"/>
        </w:rPr>
        <w:pict>
          <v:rect id="_x0000_i1025" style="width:145pt;height:.6pt" o:hrpct="330" o:hrstd="t" o:hr="t" fillcolor="#a0a0a0" stroked="f"/>
        </w:pict>
      </w:r>
    </w:p>
    <w:bookmarkStart w:id="2" w:name="_ftn1"/>
    <w:p w:rsidR="009B4D52" w:rsidRPr="009B4D52" w:rsidRDefault="009B4D52" w:rsidP="009B4D52">
      <w:pPr>
        <w:spacing w:line="240" w:lineRule="auto"/>
        <w:rPr>
          <w:rFonts w:ascii="Arial" w:eastAsia="Times New Roman" w:hAnsi="Arial"/>
          <w:color w:val="000000"/>
          <w:sz w:val="18"/>
          <w:szCs w:val="18"/>
          <w:lang w:val="es-CO"/>
        </w:rPr>
      </w:pPr>
      <w:r w:rsidRPr="009B4D52">
        <w:rPr>
          <w:rFonts w:ascii="Arial" w:eastAsia="Times New Roman" w:hAnsi="Arial"/>
          <w:color w:val="000000"/>
          <w:sz w:val="18"/>
          <w:szCs w:val="18"/>
        </w:rPr>
        <w:fldChar w:fldCharType="begin"/>
      </w:r>
      <w:r w:rsidRPr="009B4D52">
        <w:rPr>
          <w:rFonts w:ascii="Arial" w:eastAsia="Times New Roman" w:hAnsi="Arial"/>
          <w:color w:val="000000"/>
          <w:sz w:val="18"/>
          <w:szCs w:val="18"/>
          <w:lang w:val="es-CO"/>
        </w:rPr>
        <w:instrText xml:space="preserve"> HYPERLINK "https://www.ceta.org.co/html/vista_de_un_documento.asp?DocumentoID=34389" \l "_ftnref1" \o "" </w:instrText>
      </w:r>
      <w:r w:rsidRPr="009B4D52">
        <w:rPr>
          <w:rFonts w:ascii="Arial" w:eastAsia="Times New Roman" w:hAnsi="Arial"/>
          <w:color w:val="000000"/>
          <w:sz w:val="18"/>
          <w:szCs w:val="18"/>
        </w:rPr>
        <w:fldChar w:fldCharType="separate"/>
      </w:r>
      <w:r w:rsidRPr="009B4D52">
        <w:rPr>
          <w:rFonts w:ascii="Segoe UI" w:eastAsia="Times New Roman" w:hAnsi="Segoe UI" w:cs="Segoe UI"/>
          <w:color w:val="0563C1"/>
          <w:sz w:val="20"/>
          <w:szCs w:val="20"/>
          <w:lang w:val="es-CO"/>
        </w:rPr>
        <w:t>[1]</w:t>
      </w:r>
      <w:r w:rsidRPr="009B4D52">
        <w:rPr>
          <w:rFonts w:ascii="Arial" w:eastAsia="Times New Roman" w:hAnsi="Arial"/>
          <w:color w:val="000000"/>
          <w:sz w:val="18"/>
          <w:szCs w:val="18"/>
        </w:rPr>
        <w:fldChar w:fldCharType="end"/>
      </w:r>
      <w:bookmarkEnd w:id="2"/>
      <w:r w:rsidRPr="009B4D52">
        <w:rPr>
          <w:rFonts w:ascii="Segoe UI" w:eastAsia="Times New Roman" w:hAnsi="Segoe UI" w:cs="Segoe UI"/>
          <w:color w:val="000000"/>
          <w:sz w:val="20"/>
          <w:szCs w:val="20"/>
          <w:lang w:val="es-CO"/>
        </w:rPr>
        <w:t> Definición de valor razonable</w:t>
      </w:r>
    </w:p>
    <w:p w:rsidR="009B4D52" w:rsidRPr="009B4D52" w:rsidRDefault="009B4D52" w:rsidP="009B4D52">
      <w:pPr>
        <w:spacing w:line="240" w:lineRule="auto"/>
        <w:rPr>
          <w:rFonts w:ascii="Arial" w:eastAsia="Times New Roman" w:hAnsi="Arial"/>
          <w:color w:val="000000"/>
          <w:sz w:val="18"/>
          <w:szCs w:val="18"/>
          <w:lang w:val="es-CO"/>
        </w:rPr>
      </w:pPr>
      <w:r w:rsidRPr="009B4D52">
        <w:rPr>
          <w:rFonts w:ascii="Segoe UI" w:eastAsia="Times New Roman" w:hAnsi="Segoe UI" w:cs="Segoe UI"/>
          <w:color w:val="000000"/>
          <w:sz w:val="20"/>
          <w:szCs w:val="20"/>
          <w:lang w:val="es-CO"/>
        </w:rPr>
        <w:t> </w:t>
      </w:r>
    </w:p>
    <w:bookmarkStart w:id="3" w:name="_ftn2"/>
    <w:p w:rsidR="009B4D52" w:rsidRPr="009B4D52" w:rsidRDefault="009B4D52" w:rsidP="009B4D52">
      <w:pPr>
        <w:spacing w:line="240" w:lineRule="auto"/>
        <w:rPr>
          <w:rFonts w:ascii="Arial" w:eastAsia="Times New Roman" w:hAnsi="Arial"/>
          <w:color w:val="000000"/>
          <w:sz w:val="18"/>
          <w:szCs w:val="18"/>
          <w:lang w:val="es-CO"/>
        </w:rPr>
      </w:pPr>
      <w:r w:rsidRPr="009B4D52">
        <w:rPr>
          <w:rFonts w:ascii="Arial" w:eastAsia="Times New Roman" w:hAnsi="Arial"/>
          <w:color w:val="000000"/>
          <w:sz w:val="18"/>
          <w:szCs w:val="18"/>
        </w:rPr>
        <w:fldChar w:fldCharType="begin"/>
      </w:r>
      <w:r w:rsidRPr="009B4D52">
        <w:rPr>
          <w:rFonts w:ascii="Arial" w:eastAsia="Times New Roman" w:hAnsi="Arial"/>
          <w:color w:val="000000"/>
          <w:sz w:val="18"/>
          <w:szCs w:val="18"/>
          <w:lang w:val="es-CO"/>
        </w:rPr>
        <w:instrText xml:space="preserve"> HYPERLINK "https://www.ceta.org.co/html/vista_de_un_documento.asp?DocumentoID=34389" \l "_ftnref2" \o "" </w:instrText>
      </w:r>
      <w:r w:rsidRPr="009B4D52">
        <w:rPr>
          <w:rFonts w:ascii="Arial" w:eastAsia="Times New Roman" w:hAnsi="Arial"/>
          <w:color w:val="000000"/>
          <w:sz w:val="18"/>
          <w:szCs w:val="18"/>
        </w:rPr>
        <w:fldChar w:fldCharType="separate"/>
      </w:r>
      <w:r w:rsidRPr="009B4D52">
        <w:rPr>
          <w:rFonts w:ascii="Segoe UI" w:eastAsia="Times New Roman" w:hAnsi="Segoe UI" w:cs="Segoe UI"/>
          <w:color w:val="0563C1"/>
          <w:sz w:val="20"/>
          <w:szCs w:val="20"/>
          <w:lang w:val="es-CO"/>
        </w:rPr>
        <w:t>[2]</w:t>
      </w:r>
      <w:r w:rsidRPr="009B4D52">
        <w:rPr>
          <w:rFonts w:ascii="Arial" w:eastAsia="Times New Roman" w:hAnsi="Arial"/>
          <w:color w:val="000000"/>
          <w:sz w:val="18"/>
          <w:szCs w:val="18"/>
        </w:rPr>
        <w:fldChar w:fldCharType="end"/>
      </w:r>
      <w:bookmarkEnd w:id="3"/>
      <w:r w:rsidRPr="009B4D52">
        <w:rPr>
          <w:rFonts w:ascii="Segoe UI" w:eastAsia="Times New Roman" w:hAnsi="Segoe UI" w:cs="Segoe UI"/>
          <w:color w:val="000000"/>
          <w:sz w:val="20"/>
          <w:szCs w:val="20"/>
          <w:lang w:val="es-CO"/>
        </w:rPr>
        <w:t> El valor razonable de un activo se entiende que se recuperaría a través de su venta</w:t>
      </w:r>
    </w:p>
    <w:p w:rsidR="00147980" w:rsidRPr="009B4D52" w:rsidRDefault="00147980">
      <w:pPr>
        <w:rPr>
          <w:lang w:val="es-CO"/>
        </w:rPr>
      </w:pPr>
      <w:bookmarkStart w:id="4" w:name="_GoBack"/>
      <w:bookmarkEnd w:id="4"/>
    </w:p>
    <w:sectPr w:rsidR="00147980" w:rsidRPr="009B4D5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52"/>
    <w:rsid w:val="00147980"/>
    <w:rsid w:val="009B4D5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0EFC-2B77-472D-890D-BD58B0FA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77888">
      <w:bodyDiv w:val="1"/>
      <w:marLeft w:val="0"/>
      <w:marRight w:val="0"/>
      <w:marTop w:val="0"/>
      <w:marBottom w:val="0"/>
      <w:divBdr>
        <w:top w:val="none" w:sz="0" w:space="0" w:color="auto"/>
        <w:left w:val="none" w:sz="0" w:space="0" w:color="auto"/>
        <w:bottom w:val="none" w:sz="0" w:space="0" w:color="auto"/>
        <w:right w:val="none" w:sz="0" w:space="0" w:color="auto"/>
      </w:divBdr>
      <w:divsChild>
        <w:div w:id="110632850">
          <w:marLeft w:val="0"/>
          <w:marRight w:val="0"/>
          <w:marTop w:val="0"/>
          <w:marBottom w:val="0"/>
          <w:divBdr>
            <w:top w:val="none" w:sz="0" w:space="0" w:color="auto"/>
            <w:left w:val="none" w:sz="0" w:space="0" w:color="auto"/>
            <w:bottom w:val="none" w:sz="0" w:space="0" w:color="auto"/>
            <w:right w:val="none" w:sz="0" w:space="0" w:color="auto"/>
          </w:divBdr>
        </w:div>
        <w:div w:id="110534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jas.luzmar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1258</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2018-06-23T16:04:00Z</dcterms:created>
  <dcterms:modified xsi:type="dcterms:W3CDTF">2018-06-23T16:06:00Z</dcterms:modified>
</cp:coreProperties>
</file>