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AC" w:rsidRPr="00E40FAC" w:rsidRDefault="00E40FAC" w:rsidP="00E40FAC">
      <w:pPr>
        <w:spacing w:line="240" w:lineRule="auto"/>
        <w:jc w:val="center"/>
        <w:rPr>
          <w:rFonts w:eastAsia="Times New Roman" w:cs="Times New Roman"/>
          <w:szCs w:val="24"/>
          <w:lang w:eastAsia="es-CO"/>
        </w:rPr>
      </w:pPr>
      <w:r w:rsidRPr="00E40FAC">
        <w:rPr>
          <w:rFonts w:eastAsia="Times New Roman" w:cs="Times New Roman"/>
          <w:b/>
          <w:bCs/>
          <w:szCs w:val="24"/>
          <w:lang w:eastAsia="es-CO"/>
        </w:rPr>
        <w:t>Concepto Nº 93957</w:t>
      </w:r>
    </w:p>
    <w:p w:rsidR="00E40FAC" w:rsidRPr="00E40FAC" w:rsidRDefault="00E40FAC" w:rsidP="00E40FAC">
      <w:pPr>
        <w:spacing w:line="240" w:lineRule="auto"/>
        <w:jc w:val="center"/>
        <w:rPr>
          <w:rFonts w:eastAsia="Times New Roman" w:cs="Times New Roman"/>
          <w:szCs w:val="24"/>
          <w:lang w:eastAsia="es-CO"/>
        </w:rPr>
      </w:pPr>
      <w:r w:rsidRPr="00E40FAC">
        <w:rPr>
          <w:rFonts w:eastAsia="Times New Roman" w:cs="Times New Roman"/>
          <w:b/>
          <w:bCs/>
          <w:szCs w:val="24"/>
          <w:lang w:eastAsia="es-CO"/>
        </w:rPr>
        <w:t>24-05-2017</w:t>
      </w:r>
    </w:p>
    <w:p w:rsidR="00E40FAC" w:rsidRPr="00E40FAC" w:rsidRDefault="00E40FAC" w:rsidP="00E40FAC">
      <w:pPr>
        <w:spacing w:line="240" w:lineRule="auto"/>
        <w:jc w:val="center"/>
        <w:rPr>
          <w:rFonts w:eastAsia="Times New Roman" w:cs="Times New Roman"/>
          <w:szCs w:val="24"/>
          <w:lang w:eastAsia="es-CO"/>
        </w:rPr>
      </w:pPr>
      <w:r w:rsidRPr="00E40FAC">
        <w:rPr>
          <w:rFonts w:eastAsia="Times New Roman" w:cs="Times New Roman"/>
          <w:b/>
          <w:bCs/>
          <w:szCs w:val="24"/>
          <w:lang w:eastAsia="es-CO"/>
        </w:rPr>
        <w:t>Superintendencia de Industria y Comercio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Bogotá D.C.</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Respetado(a) Señor(a):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i/>
          <w:iCs/>
          <w:szCs w:val="24"/>
          <w:lang w:eastAsia="es-CO"/>
        </w:rPr>
        <w:t>[Datos personales eliminados en virtud de la Ley 1581 de 2012]</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Asunto: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Radicación:</w:t>
      </w:r>
      <w:r w:rsidRPr="00E40FAC">
        <w:rPr>
          <w:rFonts w:eastAsia="Times New Roman" w:cs="Times New Roman"/>
          <w:szCs w:val="24"/>
          <w:lang w:eastAsia="es-CO"/>
        </w:rPr>
        <w:t> 17-93957</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Trámite:</w:t>
      </w:r>
      <w:r w:rsidRPr="00E40FAC">
        <w:rPr>
          <w:rFonts w:eastAsia="Times New Roman" w:cs="Times New Roman"/>
          <w:szCs w:val="24"/>
          <w:lang w:eastAsia="es-CO"/>
        </w:rPr>
        <w:t> 113</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Evento:</w:t>
      </w:r>
      <w:r w:rsidRPr="00E40FAC">
        <w:rPr>
          <w:rFonts w:eastAsia="Times New Roman" w:cs="Times New Roman"/>
          <w:szCs w:val="24"/>
          <w:lang w:eastAsia="es-CO"/>
        </w:rPr>
        <w:t> 0</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Actuación:</w:t>
      </w:r>
      <w:r w:rsidRPr="00E40FAC">
        <w:rPr>
          <w:rFonts w:eastAsia="Times New Roman" w:cs="Times New Roman"/>
          <w:szCs w:val="24"/>
          <w:lang w:eastAsia="es-CO"/>
        </w:rPr>
        <w:t> 440</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Folios:</w:t>
      </w:r>
      <w:r w:rsidRPr="00E40FAC">
        <w:rPr>
          <w:rFonts w:eastAsia="Times New Roman" w:cs="Times New Roman"/>
          <w:szCs w:val="24"/>
          <w:lang w:eastAsia="es-CO"/>
        </w:rPr>
        <w:t> 12</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Reciba cordial saludo.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De conformidad con lo previsto en el artículo 28 de la Ley 1755 de 2015, por la cual se sustituye el Título II del Código de Procedimiento Administrativo y de lo Contencioso Administrativo, fundamento jurídico sobre el cual se funda la consulta objeto de la solicitud, procede la </w:t>
      </w:r>
      <w:r w:rsidRPr="00E40FAC">
        <w:rPr>
          <w:rFonts w:eastAsia="Times New Roman" w:cs="Times New Roman"/>
          <w:b/>
          <w:bCs/>
          <w:szCs w:val="24"/>
          <w:lang w:eastAsia="es-CO"/>
        </w:rPr>
        <w:t>SUPERINTENDENCIA DE INDUSTRIA Y COMERCIO </w:t>
      </w:r>
      <w:r w:rsidRPr="00E40FAC">
        <w:rPr>
          <w:rFonts w:eastAsia="Times New Roman" w:cs="Times New Roman"/>
          <w:szCs w:val="24"/>
          <w:lang w:eastAsia="es-CO"/>
        </w:rPr>
        <w:t>a emitir un pronunciamiento, en los términos que a continuación se pasan a exponer:</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1. OBJETO DE LA CONSULTA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Atendiendo a la solicitud por usted radicada ante esta Entidad a través de comunicación de fecha 18 de abril de 2017, en la cual teniendo en cuenta la depuración prevista en el artículo 31 de la Ley 1727 de 2014, se consulta:</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xml:space="preserve">“Dicha depuración nos ha generado la consulta por varios representantes legales de entidades sin ánimo de lucro en el sentido de que puedan reactivarse y evitar la liquidación de la entidad, cuya </w:t>
      </w:r>
      <w:proofErr w:type="spellStart"/>
      <w:r w:rsidRPr="00E40FAC">
        <w:rPr>
          <w:rFonts w:eastAsia="Times New Roman" w:cs="Times New Roman"/>
          <w:i/>
          <w:iCs/>
          <w:szCs w:val="24"/>
          <w:lang w:eastAsia="es-CO"/>
        </w:rPr>
        <w:t>causal</w:t>
      </w:r>
      <w:proofErr w:type="spellEnd"/>
      <w:r w:rsidRPr="00E40FAC">
        <w:rPr>
          <w:rFonts w:eastAsia="Times New Roman" w:cs="Times New Roman"/>
          <w:i/>
          <w:iCs/>
          <w:szCs w:val="24"/>
          <w:lang w:eastAsia="es-CO"/>
        </w:rPr>
        <w:t xml:space="preserve"> de disolución obedeció a la no renovación de su inscripción durante los últimos cinco años, siempre y cuando cumplan con los presupuestos allí establecidos.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Teniendo en cuenta lo anterior, respetuosamente acudimos a sus buenos oficios para efectos de poder conocer la posición de la Superintendencia de Industria y Comercio sobre este particular.”</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Nos permitimos realizar las siguientes precisiones: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2. CUESTIÓN PREVIA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Reviste de gran importancia precisar en primer lugar que la </w:t>
      </w:r>
      <w:r w:rsidRPr="00E40FAC">
        <w:rPr>
          <w:rFonts w:eastAsia="Times New Roman" w:cs="Times New Roman"/>
          <w:b/>
          <w:bCs/>
          <w:szCs w:val="24"/>
          <w:lang w:eastAsia="es-CO"/>
        </w:rPr>
        <w:t>SUPERINTENDENCIA DE INDUSTRIA Y COMERCIO </w:t>
      </w:r>
      <w:r w:rsidRPr="00E40FAC">
        <w:rPr>
          <w:rFonts w:eastAsia="Times New Roman" w:cs="Times New Roman"/>
          <w:szCs w:val="24"/>
          <w:lang w:eastAsia="es-CO"/>
        </w:rPr>
        <w:t>a través de su Oficina Asesora Jurídica no le asiste la facultad de dirimir situaciones de carácter particular, debido a que, una lectura en tal sentido, implicaría la flagrante vulneración del debido proceso como garantía constitucional.</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Al respecto, la Corte Constitucional ha establecido en la Sentencia C-542 de 2005:</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xml:space="preserve">“Los conceptos emitidos por las entidades en respuesta a un derecho de petición de consulta no constituyen interpretaciones autorizadas de la ley o de un acto administrativo. </w:t>
      </w:r>
      <w:r w:rsidRPr="00E40FAC">
        <w:rPr>
          <w:rFonts w:eastAsia="Times New Roman" w:cs="Times New Roman"/>
          <w:i/>
          <w:iCs/>
          <w:szCs w:val="24"/>
          <w:lang w:eastAsia="es-CO"/>
        </w:rPr>
        <w:lastRenderedPageBreak/>
        <w:t>No pueden reemplazar un acto administrativo. Dada la naturaleza misma de los conceptos, ellos se equiparan a opiniones, a consejos, a pautas de acción, a puntos de vista, a recomendaciones que emite la administración pero que dejan al administrado en libertad para seguirlos o no”.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3. FACULTADES DE LA SUPERINTENDENCIA DE INDUSTRIA Y COMERCIO EN MATERIA DE CÁMARAS DE COMERCIO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En cuanto a las funciones específicas de esta Entidad frente a las Cámaras de Comercio, se encuentran las señaladas en el Código de Comercio en los artículos 27, 37, 82 y 87 y en el artículo 1, numerales 17, 18, 19 y 20 del Decreto 4886 de 2011, que a la letra señalan:</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“17. Ejercer el control y vigilancia de las Cámaras de Comercio, sus federaciones y confederaciones de acuerdo con las disposiciones vigentes sobre la materia y coordinar lo relacionado con el registro mercantil.</w:t>
      </w:r>
    </w:p>
    <w:p w:rsidR="00E40FAC" w:rsidRDefault="00E40FAC" w:rsidP="00E40FAC">
      <w:pPr>
        <w:spacing w:line="240" w:lineRule="auto"/>
        <w:ind w:left="180"/>
        <w:rPr>
          <w:rFonts w:eastAsia="Times New Roman" w:cs="Times New Roman"/>
          <w:i/>
          <w:iCs/>
          <w:szCs w:val="24"/>
          <w:lang w:eastAsia="es-CO"/>
        </w:rPr>
      </w:pP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18. Determinar los libros necesarios para que las Cámaras de Comercio lleven el registro mercantil, la forma de hacer las inscripciones e instruir para que dicho registro y el de las personas jurídicas sin ánimo de lucro se lleve de acuerdo con la ley.</w:t>
      </w:r>
    </w:p>
    <w:p w:rsidR="00E40FAC" w:rsidRDefault="00E40FAC" w:rsidP="00E40FAC">
      <w:pPr>
        <w:spacing w:line="240" w:lineRule="auto"/>
        <w:ind w:left="180"/>
        <w:rPr>
          <w:rFonts w:eastAsia="Times New Roman" w:cs="Times New Roman"/>
          <w:i/>
          <w:iCs/>
          <w:szCs w:val="24"/>
          <w:lang w:eastAsia="es-CO"/>
        </w:rPr>
      </w:pP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19. Ejercer de acuerdo con la ley las funciones relacionadas con el registro único de proponentes.</w:t>
      </w:r>
    </w:p>
    <w:p w:rsidR="00E40FAC" w:rsidRDefault="00E40FAC" w:rsidP="00E40FAC">
      <w:pPr>
        <w:spacing w:line="240" w:lineRule="auto"/>
        <w:ind w:left="180"/>
        <w:rPr>
          <w:rFonts w:eastAsia="Times New Roman" w:cs="Times New Roman"/>
          <w:i/>
          <w:iCs/>
          <w:szCs w:val="24"/>
          <w:lang w:eastAsia="es-CO"/>
        </w:rPr>
      </w:pP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20. Resolver los recursos de apelación y queja interpuestos contra los actos expedidos por las Cámaras de Comercio.”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En ese orden de ideas, se procederá en primer lugar al desarrollo legal, doctrinal y jurisprudencial que corresponda realizar en torno al objeto de la petición como eje central.</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3.1. Registro Único Empresarial y Social RUES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El Decreto Ley 19 de 2012, </w:t>
      </w:r>
      <w:r w:rsidRPr="00E40FAC">
        <w:rPr>
          <w:rFonts w:eastAsia="Times New Roman" w:cs="Times New Roman"/>
          <w:i/>
          <w:iCs/>
          <w:szCs w:val="24"/>
          <w:lang w:eastAsia="es-CO"/>
        </w:rPr>
        <w:t>“Por el cual se dictan normas para suprimir o reformar regulaciones, procedimientos y trámites innecesarios existentes en Administración Pública”, </w:t>
      </w:r>
      <w:r w:rsidRPr="00E40FAC">
        <w:rPr>
          <w:rFonts w:eastAsia="Times New Roman" w:cs="Times New Roman"/>
          <w:szCs w:val="24"/>
          <w:lang w:eastAsia="es-CO"/>
        </w:rPr>
        <w:t>en su artículo 166, señala:</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“ARTÍCULO 166. DEL REGISTRO ÚNICO EMPRESARIAL Y SOCIAL</w:t>
      </w:r>
      <w:r w:rsidRPr="00E40FAC">
        <w:rPr>
          <w:rFonts w:eastAsia="Times New Roman" w:cs="Times New Roman"/>
          <w:i/>
          <w:iCs/>
          <w:szCs w:val="24"/>
          <w:lang w:eastAsia="es-CO"/>
        </w:rPr>
        <w:t>. Al Registro Único Empresarial (RUE) de que trata el artículo 11 de la Ley 590 de 2000, que integró el Registro Mercantil y el Registro Único de Proponentes, se incorporarán e integrarán las operaciones del </w:t>
      </w:r>
      <w:r w:rsidRPr="00E40FAC">
        <w:rPr>
          <w:rFonts w:eastAsia="Times New Roman" w:cs="Times New Roman"/>
          <w:b/>
          <w:bCs/>
          <w:i/>
          <w:iCs/>
          <w:szCs w:val="24"/>
          <w:u w:val="single"/>
          <w:lang w:eastAsia="es-CO"/>
        </w:rPr>
        <w:t>Registro de Entidades sin Ánimo de Lucro creado por el Decreto 2150 de 1995</w:t>
      </w:r>
      <w:r w:rsidRPr="00E40FAC">
        <w:rPr>
          <w:rFonts w:eastAsia="Times New Roman" w:cs="Times New Roman"/>
          <w:i/>
          <w:iCs/>
          <w:szCs w:val="24"/>
          <w:lang w:eastAsia="es-CO"/>
        </w:rPr>
        <w:t>, del Registro Nacional Público de las personas naturales y jurídicas que ejerzan la actividad de vendedores de Juegos de Suerte y Azar de que trata la Ley 643 de 2001, del Registro Público de Veedurías Ciudadanas de que trata la Ley 850 de 2003, del Registro Nacional de Turismo de que trata la Ley 1101 de 2006, del Registro de Entidades Extranjeras de Derecho Privado sin Ánimo de Lucro con domicilio en el exterior que establezcan negocios permanentes en Colombia de que trata el Decreto 2893 de 2011, Y del Registro de la Economía Solidaria de que trata la Ley 454 de 1998, que en lo sucesivo se denominará Registro Único Empresarial y Social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Con el objeto de mantener la actualización del registro y garantizar la eficacia del mismo, la inscripción en los registros que integran el Registro Único Empresarial y Social, y el titular del registro </w:t>
      </w:r>
      <w:r w:rsidRPr="00E40FAC">
        <w:rPr>
          <w:rFonts w:eastAsia="Times New Roman" w:cs="Times New Roman"/>
          <w:b/>
          <w:bCs/>
          <w:i/>
          <w:iCs/>
          <w:szCs w:val="24"/>
          <w:u w:val="single"/>
          <w:lang w:eastAsia="es-CO"/>
        </w:rPr>
        <w:t>renovará anualmente dentro de los tres primeros meses de cada año</w:t>
      </w:r>
      <w:r w:rsidRPr="00E40FAC">
        <w:rPr>
          <w:rFonts w:eastAsia="Times New Roman" w:cs="Times New Roman"/>
          <w:i/>
          <w:iCs/>
          <w:szCs w:val="24"/>
          <w:lang w:eastAsia="es-CO"/>
        </w:rPr>
        <w:t xml:space="preserve">. </w:t>
      </w:r>
      <w:r w:rsidRPr="00E40FAC">
        <w:rPr>
          <w:rFonts w:eastAsia="Times New Roman" w:cs="Times New Roman"/>
          <w:i/>
          <w:iCs/>
          <w:szCs w:val="24"/>
          <w:lang w:eastAsia="es-CO"/>
        </w:rPr>
        <w:lastRenderedPageBreak/>
        <w:t>El organismo que ejerza el control y vigilancia de las cámaras de comercio establecerá los formatos y la información requerida para inscripción en el registro y la renovación de la misma. Los registros mercantil y de proponentes continuarán renovándose de acuerdo con las reglas vigentes.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El organismo que ejerza el control y vigilancia de las cámaras de comercio regulará la integración e implementación del Registro Único Empresarial y Social, garantizando que, específicamente, </w:t>
      </w:r>
      <w:r w:rsidRPr="00E40FAC">
        <w:rPr>
          <w:rFonts w:eastAsia="Times New Roman" w:cs="Times New Roman"/>
          <w:b/>
          <w:bCs/>
          <w:i/>
          <w:iCs/>
          <w:szCs w:val="24"/>
          <w:lang w:eastAsia="es-CO"/>
        </w:rPr>
        <w:t>se reduzcan los trámites, requisitos e información a cargo de todos los usuarios de los registros públicos </w:t>
      </w:r>
      <w:r w:rsidRPr="00E40FAC">
        <w:rPr>
          <w:rFonts w:eastAsia="Times New Roman" w:cs="Times New Roman"/>
          <w:i/>
          <w:iCs/>
          <w:szCs w:val="24"/>
          <w:lang w:eastAsia="es-CO"/>
        </w:rPr>
        <w:t>y que todas las gestiones se puedan adelantar, además, por internet y otras formas electrónicas. La regulación que realice la autoridad competente deberá, en todo caso, hacerse en armonía con las disposiciones estatutarias y con las contenidas en códigos, respecto de los registros de que trata el presente artículo.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Los derechos por la prestación de los servicios registrales serán los previstos por la ley para el registro mercantil, el registro único de proponentes y </w:t>
      </w:r>
      <w:r w:rsidRPr="00E40FAC">
        <w:rPr>
          <w:rFonts w:eastAsia="Times New Roman" w:cs="Times New Roman"/>
          <w:b/>
          <w:bCs/>
          <w:i/>
          <w:iCs/>
          <w:szCs w:val="24"/>
          <w:u w:val="single"/>
          <w:lang w:eastAsia="es-CO"/>
        </w:rPr>
        <w:t>el registro de entidades sin ánimo de lucro</w:t>
      </w:r>
      <w:r w:rsidRPr="00E40FAC">
        <w:rPr>
          <w:rFonts w:eastAsia="Times New Roman" w:cs="Times New Roman"/>
          <w:i/>
          <w:iCs/>
          <w:szCs w:val="24"/>
          <w:u w:val="single"/>
          <w:lang w:eastAsia="es-CO"/>
        </w:rPr>
        <w:t>, según el caso</w:t>
      </w:r>
      <w:r w:rsidRPr="00E40FAC">
        <w:rPr>
          <w:rFonts w:eastAsia="Times New Roman" w:cs="Times New Roman"/>
          <w:i/>
          <w:iCs/>
          <w:szCs w:val="24"/>
          <w:lang w:eastAsia="es-CO"/>
        </w:rPr>
        <w:t>. Las Cámaras de Comercio no podrán cobrar derechos de inscripción y renovación sobre los registros que se le trasladan en virtud del presente decreto-ley y que a la vigencia del mismo no los causan.</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Los ingresos provenientes de los registros públicos y los bienes adquiridos con éstos, continuarán afectos a las funciones atribuidas a las Cámaras de Comercio por la ley o por el Gobierno Nacional en aplicación del numeral 12 del artículo 86 del Código de Comercio. En ningún caso los recursos de origen público podrán destinarse para sufragar operaciones o gastos privados de las Cámaras de Comercio. Los registros públicos que se le trasladan a las Cámaras de Comercio serán asumidos por éstas a partir del primero (1°) de marzo de 2012.2.” (</w:t>
      </w:r>
      <w:proofErr w:type="gramStart"/>
      <w:r w:rsidRPr="00E40FAC">
        <w:rPr>
          <w:rFonts w:eastAsia="Times New Roman" w:cs="Times New Roman"/>
          <w:i/>
          <w:iCs/>
          <w:szCs w:val="24"/>
          <w:lang w:eastAsia="es-CO"/>
        </w:rPr>
        <w:t>resaltado</w:t>
      </w:r>
      <w:proofErr w:type="gramEnd"/>
      <w:r w:rsidRPr="00E40FAC">
        <w:rPr>
          <w:rFonts w:eastAsia="Times New Roman" w:cs="Times New Roman"/>
          <w:i/>
          <w:iCs/>
          <w:szCs w:val="24"/>
          <w:lang w:eastAsia="es-CO"/>
        </w:rPr>
        <w:t xml:space="preserve"> y subrayado fuera de texto)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De acuerdo con lo señalado en precedencia, las entidades sin ánimo de lucro deberán renovar anualmente su registro dentro del primer trimestre del año.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En este orden, el Registro Único Empresarial y Social –RUES-, a cargo de las Cámaras de Comercio es una herramienta confiable de información unificada para consulta del Estado, de la ciudadanía en general y de todos los interesados.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3.2 Registro de Entidades sin Ánimo de Lucro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3.2.1 Decreto 1074 de 2015</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El Decreto 1074 de 2015, </w:t>
      </w:r>
      <w:r w:rsidRPr="00E40FAC">
        <w:rPr>
          <w:rFonts w:eastAsia="Times New Roman" w:cs="Times New Roman"/>
          <w:i/>
          <w:iCs/>
          <w:szCs w:val="24"/>
          <w:lang w:eastAsia="es-CO"/>
        </w:rPr>
        <w:t>“Por medio del cual se expide el Decreto Único Reglamentario del Sector Comercio, Industria y Turismo”, </w:t>
      </w:r>
      <w:r w:rsidRPr="00E40FAC">
        <w:rPr>
          <w:rFonts w:eastAsia="Times New Roman" w:cs="Times New Roman"/>
          <w:szCs w:val="24"/>
          <w:lang w:eastAsia="es-CO"/>
        </w:rPr>
        <w:t>que incorporó los Decretos 2150 de 1995 y 427 de 1996, en su artículo 2.2.2.40.1 refiriéndose a las entidades sin ánimo de lucro, señala:</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“Artículo 2.2.2.40.1.1. Registro de las personas jurídicas sin ánimo de lucro. </w:t>
      </w:r>
      <w:r w:rsidRPr="00E40FAC">
        <w:rPr>
          <w:rFonts w:eastAsia="Times New Roman" w:cs="Times New Roman"/>
          <w:b/>
          <w:bCs/>
          <w:i/>
          <w:iCs/>
          <w:szCs w:val="24"/>
          <w:u w:val="single"/>
          <w:lang w:eastAsia="es-CO"/>
        </w:rPr>
        <w:t>Las personas jurídicas sin ánimo de lucro</w:t>
      </w:r>
      <w:r w:rsidRPr="00E40FAC">
        <w:rPr>
          <w:rFonts w:eastAsia="Times New Roman" w:cs="Times New Roman"/>
          <w:b/>
          <w:bCs/>
          <w:i/>
          <w:iCs/>
          <w:szCs w:val="24"/>
          <w:lang w:eastAsia="es-CO"/>
        </w:rPr>
        <w:t> </w:t>
      </w:r>
      <w:r w:rsidRPr="00E40FAC">
        <w:rPr>
          <w:rFonts w:eastAsia="Times New Roman" w:cs="Times New Roman"/>
          <w:i/>
          <w:iCs/>
          <w:szCs w:val="24"/>
          <w:lang w:eastAsia="es-CO"/>
        </w:rPr>
        <w:t>de que tratan los artículos 40 a 45 y 143, a 148 del Decreto 2150 de 1995, en concordancia con el artículo 146 del Decreto 019 de 2012, se inscribirán en las respectivas Cámaras de Comercio </w:t>
      </w:r>
      <w:r w:rsidRPr="00E40FAC">
        <w:rPr>
          <w:rFonts w:eastAsia="Times New Roman" w:cs="Times New Roman"/>
          <w:b/>
          <w:bCs/>
          <w:i/>
          <w:iCs/>
          <w:szCs w:val="24"/>
          <w:u w:val="single"/>
          <w:lang w:eastAsia="es-CO"/>
        </w:rPr>
        <w:t>en los mismos términos</w:t>
      </w:r>
      <w:r w:rsidRPr="00E40FAC">
        <w:rPr>
          <w:rFonts w:eastAsia="Times New Roman" w:cs="Times New Roman"/>
          <w:i/>
          <w:iCs/>
          <w:szCs w:val="24"/>
          <w:lang w:eastAsia="es-CO"/>
        </w:rPr>
        <w:t>, con las mismas tarifas y condiciones previstas para el registro mercantil de los actos de las sociedades comerciales.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Para el efecto, el documento de constitución deberá expresar cuando menos, los requisitos establecidos por el artículo 40 del citado decreto y nombre de la persona o entidad que desempeña la función de fiscalización, si es del caso</w:t>
      </w:r>
      <w:r w:rsidRPr="00E40FAC">
        <w:rPr>
          <w:rFonts w:eastAsia="Times New Roman" w:cs="Times New Roman"/>
          <w:i/>
          <w:iCs/>
          <w:szCs w:val="24"/>
          <w:lang w:eastAsia="es-CO"/>
        </w:rPr>
        <w:t>. Así mismo, al momento del registro se suministrará a las Cámaras de Comercio la dirección, teléfono y fax de la persona jurídica.</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lastRenderedPageBreak/>
        <w:t>Parágrafo 1°. </w:t>
      </w:r>
      <w:r w:rsidRPr="00E40FAC">
        <w:rPr>
          <w:rFonts w:eastAsia="Times New Roman" w:cs="Times New Roman"/>
          <w:i/>
          <w:iCs/>
          <w:szCs w:val="24"/>
          <w:lang w:eastAsia="es-CO"/>
        </w:rPr>
        <w:t>Para los efectos del numeral 8 del artículo 40 del Decreto 2150 de 1995, las entidades de naturaleza cooperativa, los fondos de empleados, las asociaciones mutuales y las fundaciones deberán estipular que su duración es indefinida.</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Parágrafo 2°. </w:t>
      </w:r>
      <w:r w:rsidRPr="00E40FAC">
        <w:rPr>
          <w:rFonts w:eastAsia="Times New Roman" w:cs="Times New Roman"/>
          <w:i/>
          <w:iCs/>
          <w:szCs w:val="24"/>
          <w:lang w:eastAsia="es-CO"/>
        </w:rPr>
        <w:t>Las entidades de naturaleza cooperativa, los fondos de empleados y las asociaciones mutuales, así como sus organismos de integración y las instituciones auxiliares del cooperativismo, para su registro presentarán, además de los requisitos generales, constancia suscrita por quien ejerza o vaya a ejercer las funciones de representante legal, según el caso, donde manifieste haberse dado acatamiento a las normas especiales legales y reglamentarias que regulen a la entidad constituida.”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A su vez, el artículo 2</w:t>
      </w:r>
      <w:r>
        <w:rPr>
          <w:rFonts w:eastAsia="Times New Roman" w:cs="Times New Roman"/>
          <w:szCs w:val="24"/>
          <w:lang w:eastAsia="es-CO"/>
        </w:rPr>
        <w:t xml:space="preserve">.2.2.2.40.1.2 </w:t>
      </w:r>
      <w:r w:rsidRPr="00E40FAC">
        <w:rPr>
          <w:rFonts w:eastAsia="Times New Roman" w:cs="Times New Roman"/>
          <w:szCs w:val="24"/>
          <w:lang w:eastAsia="es-CO"/>
        </w:rPr>
        <w:t xml:space="preserve">del Decreto 1074 de 2015, relaciona las personas jurídicas sin ánimo de lucro que deben registrarse en las Cámaras de Comercio, el </w:t>
      </w:r>
      <w:proofErr w:type="spellStart"/>
      <w:r w:rsidRPr="00E40FAC">
        <w:rPr>
          <w:rFonts w:eastAsia="Times New Roman" w:cs="Times New Roman"/>
          <w:szCs w:val="24"/>
          <w:lang w:eastAsia="es-CO"/>
        </w:rPr>
        <w:t>el</w:t>
      </w:r>
      <w:proofErr w:type="spellEnd"/>
      <w:r w:rsidRPr="00E40FAC">
        <w:rPr>
          <w:rFonts w:eastAsia="Times New Roman" w:cs="Times New Roman"/>
          <w:szCs w:val="24"/>
          <w:lang w:eastAsia="es-CO"/>
        </w:rPr>
        <w:t xml:space="preserve"> (sic) artículo 2.2.2.40.1.8, establece que se certificará la existencia y representación de las entidades sin ánimo de lucro, así como todos los actos, libros o documentos respecto de los cuales se exija esta información y los artículos 2.2.2.40.1.9 y 2.2.2.40.1.10, el lugar de la inscripción y los requisitos para su inscripción, así:</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w:t>
      </w:r>
      <w:r w:rsidRPr="00E40FAC">
        <w:rPr>
          <w:rFonts w:eastAsia="Times New Roman" w:cs="Times New Roman"/>
          <w:b/>
          <w:bCs/>
          <w:i/>
          <w:iCs/>
          <w:szCs w:val="24"/>
          <w:lang w:eastAsia="es-CO"/>
        </w:rPr>
        <w:t>Artículo 2.2.2.40.1.10. Verificación formal de los requisitos. </w:t>
      </w:r>
      <w:r w:rsidRPr="00E40FAC">
        <w:rPr>
          <w:rFonts w:eastAsia="Times New Roman" w:cs="Times New Roman"/>
          <w:i/>
          <w:iCs/>
          <w:szCs w:val="24"/>
          <w:lang w:eastAsia="es-CO"/>
        </w:rPr>
        <w:t>Para la inscripción del documento de constitución de las entidades de que trata este capítulo las Cámaras de Comercio verificarán el cumplimiento formal de los requisitos previstos en el artículo 2.2.2.40.1.1 del presente decreto.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u w:val="single"/>
          <w:lang w:eastAsia="es-CO"/>
        </w:rPr>
        <w:t>Para efecto de la inscripción de los demás actos y documentos de las entidades sin ánimo de lucro, las Cámaras de Comercio deberán constatar el cumplimiento de los requisitos formales para su procedencia, en la misma forma establecida en el Código de Comercio para las sociedades comerciales</w:t>
      </w:r>
      <w:r w:rsidRPr="00E40FAC">
        <w:rPr>
          <w:rFonts w:eastAsia="Times New Roman" w:cs="Times New Roman"/>
          <w:i/>
          <w:iCs/>
          <w:szCs w:val="24"/>
          <w:lang w:eastAsia="es-CO"/>
        </w:rPr>
        <w:t>.</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Las entidades de naturaleza cooperativa, los fondos de empleados y las asociaciones mutuales, inscribirán en las Cámaras de Comercio sus demás actos de acuerdo con las normas especiales que las regulan.” (</w:t>
      </w:r>
      <w:proofErr w:type="gramStart"/>
      <w:r w:rsidRPr="00E40FAC">
        <w:rPr>
          <w:rFonts w:eastAsia="Times New Roman" w:cs="Times New Roman"/>
          <w:i/>
          <w:iCs/>
          <w:szCs w:val="24"/>
          <w:lang w:eastAsia="es-CO"/>
        </w:rPr>
        <w:t>subrayado</w:t>
      </w:r>
      <w:proofErr w:type="gramEnd"/>
      <w:r w:rsidRPr="00E40FAC">
        <w:rPr>
          <w:rFonts w:eastAsia="Times New Roman" w:cs="Times New Roman"/>
          <w:i/>
          <w:iCs/>
          <w:szCs w:val="24"/>
          <w:lang w:eastAsia="es-CO"/>
        </w:rPr>
        <w:t xml:space="preserve"> y resaltado fuera de texto)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3.2.2 Circular Única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La Circular 02 de 2016 que modificó el Título VIII de la Circular Única de esta Superintendencia en el numeral 1.3 sobre el registro de entidades sin ánimo de lucro, señala lo siguiente: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“2.2. Registro de entidades sin ánimo de lucro, de veedurías, sector solidario, apoderados de entidades extranjeras privadas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2.2.1. Aspectos generales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La inscripción y los certificados de los actos, libros y documentos de estas entidades, se efectuará en los mismos términos y condiciones y pagando los mismos derechos previstos para el Registro Mercantil. Por lo anterior, debe entenderse que las normas registrales generales de las sociedades se aplican al registro de las entidades sin ánimo de lucro, entre las que se puede mencionar el artículo 189 del Código de Comercio</w:t>
      </w:r>
      <w:r w:rsidRPr="00E40FAC">
        <w:rPr>
          <w:rFonts w:eastAsia="Times New Roman" w:cs="Times New Roman"/>
          <w:i/>
          <w:iCs/>
          <w:szCs w:val="24"/>
          <w:lang w:eastAsia="es-CO"/>
        </w:rPr>
        <w:t>, que determina el valor de prueba suficiente que se le otorga a las actas cuando cumplen los requisitos que la misma norma determina.</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 xml:space="preserve">Por norma general, no será procedente acudir a las normas sustanciales especiales previstas en el Código de Comercio para las sociedades, ya que no existe norma aplicable a las entidades sin ánimo de lucro de que trata esta Circular que remita a dicha preceptiva </w:t>
      </w:r>
      <w:r w:rsidRPr="00E40FAC">
        <w:rPr>
          <w:rFonts w:eastAsia="Times New Roman" w:cs="Times New Roman"/>
          <w:i/>
          <w:iCs/>
          <w:szCs w:val="24"/>
          <w:u w:val="single"/>
          <w:lang w:eastAsia="es-CO"/>
        </w:rPr>
        <w:lastRenderedPageBreak/>
        <w:t>ni permita su integración normativa</w:t>
      </w:r>
      <w:r w:rsidRPr="00E40FAC">
        <w:rPr>
          <w:rFonts w:eastAsia="Times New Roman" w:cs="Times New Roman"/>
          <w:i/>
          <w:iCs/>
          <w:szCs w:val="24"/>
          <w:lang w:eastAsia="es-CO"/>
        </w:rPr>
        <w:t>. Por lo tanto, no le son aplicables las normas de inexistencias ni de ineficacias del Código de Comercio.” (</w:t>
      </w:r>
      <w:proofErr w:type="gramStart"/>
      <w:r w:rsidRPr="00E40FAC">
        <w:rPr>
          <w:rFonts w:eastAsia="Times New Roman" w:cs="Times New Roman"/>
          <w:i/>
          <w:iCs/>
          <w:szCs w:val="24"/>
          <w:lang w:eastAsia="es-CO"/>
        </w:rPr>
        <w:t>subraya</w:t>
      </w:r>
      <w:proofErr w:type="gramEnd"/>
      <w:r w:rsidRPr="00E40FAC">
        <w:rPr>
          <w:rFonts w:eastAsia="Times New Roman" w:cs="Times New Roman"/>
          <w:i/>
          <w:iCs/>
          <w:szCs w:val="24"/>
          <w:lang w:eastAsia="es-CO"/>
        </w:rPr>
        <w:t xml:space="preserve"> fuera de texto)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“2.2.1.1. Formulario del Registro Único Empresarial y Social –RUES- y sus anexos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Para renovar el Registro de las Entidades Sin Ánimo de Lucro</w:t>
      </w:r>
      <w:r w:rsidRPr="00E40FAC">
        <w:rPr>
          <w:rFonts w:eastAsia="Times New Roman" w:cs="Times New Roman"/>
          <w:i/>
          <w:iCs/>
          <w:szCs w:val="24"/>
          <w:lang w:eastAsia="es-CO"/>
        </w:rPr>
        <w:t> se utilizará el Formulario del Registro Único Empresarial y sus anexos ya definido en la presente Circular en el numeral 1.7, en lo que sea compatible.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2.2.1.2. Prueba de existencia y representación legal</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2.2.1.2.1. Entidades sin ánimo de lucro y del sector solidario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La existencia y representación legal de las personas jurídicas sin ánimo de lucro de que trata el artículo 40 y 143 del Decreto 2150 de 1995, se probará con certificación expedida por la Cámara de Comercio del domicilio principal en los mismos términos y condiciones del Registro Mercantil, en lo que sea compatible.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En los certificados de las entidades del sector solidario debe indicarse en forma visible en la primera hoja que se trata de una entidad del sector solidario.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Cuando se soliciten certificados especiales históricos respecto de actos o documentos de entidades del Sector Solidario inscritos con anterioridad a su registro en la Cámara de Comercio, esta última expedirá una copia textual del documento que entregó la entidad que ejerce vigilancia y control de la misma, en el que conste la información solicitada por el usuario.”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3.3 Depuración del Registro Único Empresarial y Social –RUES-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La Ley 1727 de 2014, en su artículo 31, sobre la depuración de los registros que hacen parte del RUES, estableció lo siguiente: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“Artículo 31. Depuración del Registro Único Empresarial y Social (RUES). </w:t>
      </w:r>
      <w:r w:rsidRPr="00E40FAC">
        <w:rPr>
          <w:rFonts w:eastAsia="Times New Roman" w:cs="Times New Roman"/>
          <w:i/>
          <w:iCs/>
          <w:szCs w:val="24"/>
          <w:u w:val="single"/>
          <w:lang w:eastAsia="es-CO"/>
        </w:rPr>
        <w:t>Las Cámaras de Comercio deberán depurar anualmente la base de datos del Registro Único Empresarial y Social (RUES)</w:t>
      </w:r>
      <w:r w:rsidRPr="00E40FAC">
        <w:rPr>
          <w:rFonts w:eastAsia="Times New Roman" w:cs="Times New Roman"/>
          <w:i/>
          <w:iCs/>
          <w:szCs w:val="24"/>
          <w:lang w:eastAsia="es-CO"/>
        </w:rPr>
        <w:t>, así:</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“1. Las sociedades comerciales y </w:t>
      </w:r>
      <w:r w:rsidRPr="00E40FAC">
        <w:rPr>
          <w:rFonts w:eastAsia="Times New Roman" w:cs="Times New Roman"/>
          <w:b/>
          <w:bCs/>
          <w:i/>
          <w:iCs/>
          <w:szCs w:val="24"/>
          <w:u w:val="single"/>
          <w:lang w:eastAsia="es-CO"/>
        </w:rPr>
        <w:t>demás personas jurídicas que hayan incumplido la obligación de renovar </w:t>
      </w:r>
      <w:r w:rsidRPr="00E40FAC">
        <w:rPr>
          <w:rFonts w:eastAsia="Times New Roman" w:cs="Times New Roman"/>
          <w:i/>
          <w:iCs/>
          <w:szCs w:val="24"/>
          <w:u w:val="single"/>
          <w:lang w:eastAsia="es-CO"/>
        </w:rPr>
        <w:t>la matrícula mercantil o </w:t>
      </w:r>
      <w:r w:rsidRPr="00E40FAC">
        <w:rPr>
          <w:rFonts w:eastAsia="Times New Roman" w:cs="Times New Roman"/>
          <w:b/>
          <w:bCs/>
          <w:i/>
          <w:iCs/>
          <w:szCs w:val="24"/>
          <w:u w:val="single"/>
          <w:lang w:eastAsia="es-CO"/>
        </w:rPr>
        <w:t>el registro</w:t>
      </w:r>
      <w:r w:rsidRPr="00E40FAC">
        <w:rPr>
          <w:rFonts w:eastAsia="Times New Roman" w:cs="Times New Roman"/>
          <w:i/>
          <w:iCs/>
          <w:szCs w:val="24"/>
          <w:u w:val="single"/>
          <w:lang w:eastAsia="es-CO"/>
        </w:rPr>
        <w:t>, según sea el caso</w:t>
      </w:r>
      <w:r w:rsidRPr="00E40FAC">
        <w:rPr>
          <w:rFonts w:eastAsia="Times New Roman" w:cs="Times New Roman"/>
          <w:i/>
          <w:iCs/>
          <w:szCs w:val="24"/>
          <w:lang w:eastAsia="es-CO"/>
        </w:rPr>
        <w:t>, en los últimos cinco (5) años, q</w:t>
      </w:r>
      <w:r w:rsidRPr="00E40FAC">
        <w:rPr>
          <w:rFonts w:eastAsia="Times New Roman" w:cs="Times New Roman"/>
          <w:b/>
          <w:bCs/>
          <w:i/>
          <w:iCs/>
          <w:szCs w:val="24"/>
          <w:lang w:eastAsia="es-CO"/>
        </w:rPr>
        <w:t>uedarán disueltas y en estado de liquidación</w:t>
      </w:r>
      <w:r w:rsidRPr="00E40FAC">
        <w:rPr>
          <w:rFonts w:eastAsia="Times New Roman" w:cs="Times New Roman"/>
          <w:i/>
          <w:iCs/>
          <w:szCs w:val="24"/>
          <w:lang w:eastAsia="es-CO"/>
        </w:rPr>
        <w:t>. Cualquier persona que demuestre interés legítimo podrá solicitar a la Superintendencia de Sociedades o a la autoridad competente que designe un liquidador para tal efecto. Lo anterior, sin perjuicio de los derechos legalmente constituidos de terceros.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2. Cancelación de la matrícula mercantil de las personas naturales, los establecimientos de comercio, sucursales y agencias que hayan incumplido la obligación de renovar la matrícula mercantil en los últimos cinco (5) años.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u w:val="single"/>
          <w:lang w:eastAsia="es-CO"/>
        </w:rPr>
        <w:t>Parágrafo 1°.</w:t>
      </w:r>
      <w:r w:rsidRPr="00E40FAC">
        <w:rPr>
          <w:rFonts w:eastAsia="Times New Roman" w:cs="Times New Roman"/>
          <w:i/>
          <w:iCs/>
          <w:szCs w:val="24"/>
          <w:u w:val="single"/>
          <w:lang w:eastAsia="es-CO"/>
        </w:rPr>
        <w:t> Los comerciantes personas naturales o jurídicas y demás </w:t>
      </w:r>
      <w:r w:rsidRPr="00E40FAC">
        <w:rPr>
          <w:rFonts w:eastAsia="Times New Roman" w:cs="Times New Roman"/>
          <w:b/>
          <w:bCs/>
          <w:i/>
          <w:iCs/>
          <w:szCs w:val="24"/>
          <w:u w:val="single"/>
          <w:lang w:eastAsia="es-CO"/>
        </w:rPr>
        <w:t>personas jurídicas </w:t>
      </w:r>
      <w:r w:rsidRPr="00E40FAC">
        <w:rPr>
          <w:rFonts w:eastAsia="Times New Roman" w:cs="Times New Roman"/>
          <w:i/>
          <w:iCs/>
          <w:szCs w:val="24"/>
          <w:u w:val="single"/>
          <w:lang w:eastAsia="es-CO"/>
        </w:rPr>
        <w:t>que no hayan renovado la matrícula mercantil en los términos antes mencionados, tendrán plazo de un (1) año contado a partir de la vigencia de la presente ley para actualizar y renovar la matrícula mercantil. </w:t>
      </w:r>
      <w:r w:rsidRPr="00E40FAC">
        <w:rPr>
          <w:rFonts w:eastAsia="Times New Roman" w:cs="Times New Roman"/>
          <w:b/>
          <w:bCs/>
          <w:i/>
          <w:iCs/>
          <w:szCs w:val="24"/>
          <w:u w:val="single"/>
          <w:lang w:eastAsia="es-CO"/>
        </w:rPr>
        <w:t>Vencido este plazo, las Cámaras de Comercio procederán a efectuar la depuración de los registros</w:t>
      </w:r>
      <w:r w:rsidRPr="00E40FAC">
        <w:rPr>
          <w:rFonts w:eastAsia="Times New Roman" w:cs="Times New Roman"/>
          <w:i/>
          <w:iCs/>
          <w:szCs w:val="24"/>
          <w:lang w:eastAsia="es-CO"/>
        </w:rPr>
        <w:t>.</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Parágrafo 2°. </w:t>
      </w:r>
      <w:r w:rsidRPr="00E40FAC">
        <w:rPr>
          <w:rFonts w:eastAsia="Times New Roman" w:cs="Times New Roman"/>
          <w:i/>
          <w:iCs/>
          <w:szCs w:val="24"/>
          <w:lang w:eastAsia="es-CO"/>
        </w:rPr>
        <w:t xml:space="preserve">Las Cámaras de Comercio informarán, previamente, las condiciones previstas en el presente artículo a los interesados mediante carta o comunicación remitida vía correo electrónico a la última dirección registrada, si la tuviere. Así mismo, publicarán </w:t>
      </w:r>
      <w:r w:rsidRPr="00E40FAC">
        <w:rPr>
          <w:rFonts w:eastAsia="Times New Roman" w:cs="Times New Roman"/>
          <w:i/>
          <w:iCs/>
          <w:szCs w:val="24"/>
          <w:lang w:eastAsia="es-CO"/>
        </w:rPr>
        <w:lastRenderedPageBreak/>
        <w:t>al menos un (1) aviso anual dentro de los tres (3) primeros meses, en un diario de circulación nacional en el que se informe a los inscritos del requerimiento para cumplir con la obligación y las consecuencias de no hacerlo.”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En tal sentido, las personas naturales y jurídicas que llevaran más de 5 años sin renovar su matrícula mercantil contaban con (1) un año a partir de la vigencia de la Ley 1727 del 11 de julio de 2014 -la cual fue publicada en el Diario Oficial 49209 del 11 de julio de 2014- para ponerse al día con esta obligación y de esta manera evitar las consecuencias derivadas de su no renovación, esto es, la cancelación de la matrícula mercantil (de las personas naturales, establecimientos de comercio, sucursales y agencias) o que las declaren incursas en estado de disolución y liquidación (a las personas jurídicas).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Por su parte, la Circular Única de esta Superintendencia en el Título VIII modificado por la Circular 02 de 2016, sobre el tema, dispone: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“2.1.3 Aspectos atinentes a la matrícula mercantil y su renovación</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2.1.3.5. </w:t>
      </w:r>
      <w:r w:rsidRPr="00E40FAC">
        <w:rPr>
          <w:rFonts w:eastAsia="Times New Roman" w:cs="Times New Roman"/>
          <w:i/>
          <w:iCs/>
          <w:szCs w:val="24"/>
          <w:lang w:eastAsia="es-CO"/>
        </w:rPr>
        <w:t>(…)</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Para el cómputo de los últimos cinco años de no haber renovado</w:t>
      </w:r>
      <w:r w:rsidRPr="00E40FAC">
        <w:rPr>
          <w:rFonts w:eastAsia="Times New Roman" w:cs="Times New Roman"/>
          <w:i/>
          <w:iCs/>
          <w:szCs w:val="24"/>
          <w:lang w:eastAsia="es-CO"/>
        </w:rPr>
        <w:t> la matrícula mercantil o </w:t>
      </w:r>
      <w:r w:rsidRPr="00E40FAC">
        <w:rPr>
          <w:rFonts w:eastAsia="Times New Roman" w:cs="Times New Roman"/>
          <w:i/>
          <w:iCs/>
          <w:szCs w:val="24"/>
          <w:u w:val="single"/>
          <w:lang w:eastAsia="es-CO"/>
        </w:rPr>
        <w:t>el registro</w:t>
      </w:r>
      <w:r w:rsidRPr="00E40FAC">
        <w:rPr>
          <w:rFonts w:eastAsia="Times New Roman" w:cs="Times New Roman"/>
          <w:i/>
          <w:iCs/>
          <w:szCs w:val="24"/>
          <w:lang w:eastAsia="es-CO"/>
        </w:rPr>
        <w:t>, previstos para la depuración de la base de datos del RUES definida en la Ley 1727 de 2014, no se tendrán en cuenta aquellos años en los que no se tenía la obligación de hacer la respectiva renovación.</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2.1.3.14. </w:t>
      </w:r>
      <w:r w:rsidRPr="00E40FAC">
        <w:rPr>
          <w:rFonts w:eastAsia="Times New Roman" w:cs="Times New Roman"/>
          <w:i/>
          <w:iCs/>
          <w:szCs w:val="24"/>
          <w:lang w:eastAsia="es-CO"/>
        </w:rPr>
        <w:t>En el proceso de depuración del Registro Único Empresarial y Social, las Cámaras de Comercio están en la obligación de aplicar las siguientes instrucciones: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Las personas jurídicas</w:t>
      </w:r>
      <w:r w:rsidRPr="00E40FAC">
        <w:rPr>
          <w:rFonts w:eastAsia="Times New Roman" w:cs="Times New Roman"/>
          <w:i/>
          <w:iCs/>
          <w:szCs w:val="24"/>
          <w:lang w:eastAsia="es-CO"/>
        </w:rPr>
        <w:t> que tengan inscrita una medida cautelar, orden de autoridad competente y/o contrato sobre bienes de las mismas, o de sus asociados, </w:t>
      </w:r>
      <w:r w:rsidRPr="00E40FAC">
        <w:rPr>
          <w:rFonts w:eastAsia="Times New Roman" w:cs="Times New Roman"/>
          <w:i/>
          <w:iCs/>
          <w:szCs w:val="24"/>
          <w:u w:val="single"/>
          <w:lang w:eastAsia="es-CO"/>
        </w:rPr>
        <w:t>pueden ser objeto de la depuración y en tal evento quedaran disueltas y en estado de liquidación</w:t>
      </w:r>
      <w:r w:rsidRPr="00E40FAC">
        <w:rPr>
          <w:rFonts w:eastAsia="Times New Roman" w:cs="Times New Roman"/>
          <w:i/>
          <w:iCs/>
          <w:szCs w:val="24"/>
          <w:lang w:eastAsia="es-CO"/>
        </w:rPr>
        <w:t>. Lo anterior por cuanto se considera que, de conformidad con lo dispuesto por el legislador, la medida continúa surtiendo sus efectos al no cancelarse la matrícula.</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No se realizará la depuración en los siguientes casos: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 </w:t>
      </w:r>
      <w:r w:rsidRPr="00E40FAC">
        <w:rPr>
          <w:rFonts w:eastAsia="Times New Roman" w:cs="Times New Roman"/>
          <w:b/>
          <w:bCs/>
          <w:i/>
          <w:iCs/>
          <w:szCs w:val="24"/>
          <w:u w:val="single"/>
          <w:lang w:eastAsia="es-CO"/>
        </w:rPr>
        <w:t>A las personas jurídicas que se encuentren disueltas y en estado de liquidación por cualquier causa</w:t>
      </w:r>
      <w:r w:rsidRPr="00E40FAC">
        <w:rPr>
          <w:rFonts w:eastAsia="Times New Roman" w:cs="Times New Roman"/>
          <w:i/>
          <w:iCs/>
          <w:szCs w:val="24"/>
          <w:lang w:eastAsia="es-CO"/>
        </w:rPr>
        <w:t>.</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A las personas jurídicas que estén en acuerdo de reestructuración, insolvencia empresarial, concordato preventivo u obligatorio, intervención, toma de posesión y en general, sujetas a cualquier otra medida adoptada por autoridad competente. - A las personas naturales cuando en su matrícula se encuentre inscrita una medida cautelar, orden de autoridad competente, suspensión de la actividad mercantil, inhabilidad y/o contrato.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A los establecimientos de comercio, agencias o sucursales cuando en su matrícula se encuentre inscrita una medida cautelar, orden de autoridad competente y/o contrato.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Sin perjuicio de lo anterior, la Cámara de Comercio deberá evaluar cada caso de manera particular, para tomar las decisiones a las que haya lugar.</w:t>
      </w:r>
      <w:r w:rsidRPr="00E40FAC">
        <w:rPr>
          <w:rFonts w:eastAsia="Times New Roman" w:cs="Times New Roman"/>
          <w:i/>
          <w:iCs/>
          <w:szCs w:val="24"/>
          <w:lang w:eastAsia="es-CO"/>
        </w:rPr>
        <w:t>” (</w:t>
      </w:r>
      <w:proofErr w:type="gramStart"/>
      <w:r w:rsidRPr="00E40FAC">
        <w:rPr>
          <w:rFonts w:eastAsia="Times New Roman" w:cs="Times New Roman"/>
          <w:i/>
          <w:iCs/>
          <w:szCs w:val="24"/>
          <w:lang w:eastAsia="es-CO"/>
        </w:rPr>
        <w:t>subrayado</w:t>
      </w:r>
      <w:proofErr w:type="gramEnd"/>
      <w:r w:rsidRPr="00E40FAC">
        <w:rPr>
          <w:rFonts w:eastAsia="Times New Roman" w:cs="Times New Roman"/>
          <w:i/>
          <w:iCs/>
          <w:szCs w:val="24"/>
          <w:lang w:eastAsia="es-CO"/>
        </w:rPr>
        <w:t xml:space="preserve"> y resaltado fuera de texto)</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2.2.2.2.2. Control de legalidad en las inscripciones de las entidades sin ánimo de lucro del artículo 40 del Decreto 2150 de 1995</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Para las inscripciones del nombramiento de los representantes legales, administradores (cuerpos colegiados), revisores fiscales, reformas, </w:t>
      </w:r>
      <w:r w:rsidRPr="00E40FAC">
        <w:rPr>
          <w:rFonts w:eastAsia="Times New Roman" w:cs="Times New Roman"/>
          <w:i/>
          <w:iCs/>
          <w:szCs w:val="24"/>
          <w:u w:val="single"/>
          <w:lang w:eastAsia="es-CO"/>
        </w:rPr>
        <w:t xml:space="preserve">disolución y aprobación de la cuenta </w:t>
      </w:r>
      <w:r w:rsidRPr="00E40FAC">
        <w:rPr>
          <w:rFonts w:eastAsia="Times New Roman" w:cs="Times New Roman"/>
          <w:i/>
          <w:iCs/>
          <w:szCs w:val="24"/>
          <w:u w:val="single"/>
          <w:lang w:eastAsia="es-CO"/>
        </w:rPr>
        <w:lastRenderedPageBreak/>
        <w:t>final de liquidación</w:t>
      </w:r>
      <w:r w:rsidRPr="00E40FAC">
        <w:rPr>
          <w:rFonts w:eastAsia="Times New Roman" w:cs="Times New Roman"/>
          <w:i/>
          <w:iCs/>
          <w:szCs w:val="24"/>
          <w:lang w:eastAsia="es-CO"/>
        </w:rPr>
        <w:t> de las Corporaciones, Asociaciones y Fundaciones, las Cámaras de Comercio, deberán observar lo siguiente: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Adicional a lo establecido en el numeral 1.11 de la presente Circular, las Cámaras de Comercio deberán abstenerse de efectuar la inscripción cuando no se hayan observado las prescripciones previstas en sus estatutos, relativas a órgano competente, convocatoria, quórum y mayorías o cuando el acta no cumpla con lo previsto en el artículo 189 del Código de Comercio o la norma que lo modifique o reemplace.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Si en los estatutos de la entidad sin ánimo de lucro no se regulan los aspectos relativos al órgano competente, convocatoria, quórum y mayorías las Cámaras de Comercio, se abstendrán de efectuar la inscripción, cuando: a) No estuviere presente o representada en la respectiva reunión, la mayoría de los miembros de dicha corporación o asociación que, conforme a la ley, tengan voto deliberativo, b) cuando la decisión no haya sido adoptada por la mayoría de los votos de los miembros presentes o representados o, c) Cuando el acta no cumpla con los requisitos previstos en el artículo 189 del Código de Comercio o la norma que lo modifique o reemplace.</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r w:rsidRPr="00E40FAC">
        <w:rPr>
          <w:rFonts w:eastAsia="Times New Roman" w:cs="Times New Roman"/>
          <w:i/>
          <w:iCs/>
          <w:szCs w:val="24"/>
          <w:u w:val="single"/>
          <w:lang w:eastAsia="es-CO"/>
        </w:rPr>
        <w:t>Cuando los estatutos no contemplen previsión alguna para la adopción de las decisiones, no será procedente acudir a lo previsto en el Código de Comercio en relación con las sociedades comerciales, ya que no existe norma aplicable a las entidades sin ánimo de lucro de que trata esta circular, que remita a dicha preceptiva ni permita su integración normativa.</w:t>
      </w:r>
      <w:r w:rsidRPr="00E40FAC">
        <w:rPr>
          <w:rFonts w:eastAsia="Times New Roman" w:cs="Times New Roman"/>
          <w:i/>
          <w:iCs/>
          <w:szCs w:val="24"/>
          <w:lang w:eastAsia="es-CO"/>
        </w:rPr>
        <w:t>”</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4. REACTIVACIÓN DE SOCIEDADES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La Ley 1429 de 2010, en su artículo 29, prevé la posibilidad de reactivación de una empresa que se encuentre en liquidación, en los siguientes términos: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“ARTÍCULO 29. REACTIVACIÓN DE SOCIEDADES Y SUCURSALES EN LIQUIDACIÓN.</w:t>
      </w:r>
      <w:r w:rsidRPr="00E40FAC">
        <w:rPr>
          <w:rFonts w:eastAsia="Times New Roman" w:cs="Times New Roman"/>
          <w:i/>
          <w:iCs/>
          <w:szCs w:val="24"/>
          <w:lang w:eastAsia="es-CO"/>
        </w:rPr>
        <w:t> La asamblea general de accionistas, la junta de socios, el accionista único o la sociedad extranjera titular de sucursales en Colombia </w:t>
      </w:r>
      <w:r w:rsidRPr="00E40FAC">
        <w:rPr>
          <w:rFonts w:eastAsia="Times New Roman" w:cs="Times New Roman"/>
          <w:i/>
          <w:iCs/>
          <w:szCs w:val="24"/>
          <w:u w:val="single"/>
          <w:lang w:eastAsia="es-CO"/>
        </w:rPr>
        <w:t>podrá, en cualquier momento posterior a la iniciación de la liquidación, acordar la reactivación de la sociedad o sucursal de sociedad extranjera</w:t>
      </w:r>
      <w:r w:rsidRPr="00E40FAC">
        <w:rPr>
          <w:rFonts w:eastAsia="Times New Roman" w:cs="Times New Roman"/>
          <w:i/>
          <w:iCs/>
          <w:szCs w:val="24"/>
          <w:lang w:eastAsia="es-CO"/>
        </w:rPr>
        <w:t>, siempre que el pasivo externo no supere el 70% de los activos sociales y que no se haya iniciado la distribución de los remanentes a los asociados.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La reactivación podrá concurrir con la transformación de la sociedad, siempre que se cumplan los requisitos exigidos en la Ley.</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En todo caso, si se pretende la transformación de la compañía en sociedad por acciones simplificada, la determinación respectiva requerirá el voto unánime de la totalidad de los asociados.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Para la reactivación, el liquidador de la sociedad someterá a consideración de la asamblea general de accionistas o junta de socios un proyecto que contendrá los motivos que dan lugar a la misma y los hechos que acreditan las condiciones previstas en el artículo anterior</w:t>
      </w:r>
      <w:r w:rsidRPr="00E40FAC">
        <w:rPr>
          <w:rFonts w:eastAsia="Times New Roman" w:cs="Times New Roman"/>
          <w:i/>
          <w:iCs/>
          <w:szCs w:val="24"/>
          <w:lang w:eastAsia="es-CO"/>
        </w:rPr>
        <w:t>.</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Igualmente deberán prepararse estados financieros extraordinarios, de conformidad con lo establecido en las normas vigentes, con fecha de corte no mayor a treinta días contados hacia atrás de la fecha de la convocatoria a la reunión del máximo órgano social.</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La decisión de reactivación se tomará por la mayoría prevista en la ley para la transformación. Los asociados ausentes y disidentes podrán ejercer el derecho de retiro en los términos de la ley.</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lastRenderedPageBreak/>
        <w:t>El acta que contenga la determinación de reactivar la compañía se inscribirá en el registro mercantil de la Cámara de Comercio del domicilio social</w:t>
      </w:r>
      <w:r w:rsidRPr="00E40FAC">
        <w:rPr>
          <w:rFonts w:eastAsia="Times New Roman" w:cs="Times New Roman"/>
          <w:i/>
          <w:iCs/>
          <w:szCs w:val="24"/>
          <w:lang w:eastAsia="es-CO"/>
        </w:rPr>
        <w:t>. La determinación deberá ser informada a los acreedores dentro de los quince días siguientes a la fecha en que se adoptó la decisión, mediante comunicación escrita dirigida a cada uno de ellos.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Los acreedores tendrán derecho de oposición judicial en los términos previstos en el artículo 175 del Código de Comercio. La acción podrá interponerse dentro de los treinta días siguientes al recibo del aviso de que trata el inciso anterior. La acción se tramitará ante la Superintendencia de Sociedades que resolverá en ejercicio de funciones jurisdiccionales a través del proceso verbal sumario.”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Conforme a lo señalado, las sociedades que se encuentren en estado de liquidación podrán reactivarse siempre que cumplan con todas las condiciones y requisitos establecidos en el artículo 29 de la Ley 1429 de 2010.</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5. CONSIDERACIONES FINALES EN TORNO A LA CONSULTA PRESENTADA.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En línea con lo anterior, y teniendo en cuenta que a este punto se ha logrado la exposición de las consideraciones de orden constitucional, legal, jurisprudencial y doctrinal, en el marco de los interrogantes planteados en la solicitud formulada, nos permitimos manifestar:</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La función pública registral asignada a las Cámaras de Comercio es taxativa y reglada, sujeta a lo dispuesto en la ley y en las instrucciones impartidas por esta Superintendencia.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En tal virtud, conforme a lo dispuesto en el artículo 166 de la Ley 1429 2010, las ESAL deben renovar anualmente su inscripción en el Registro de Entidades sin ánimo de Lucro en los mismos términos, tarifas y condiciones establecidos para las sociedades comerciales, esto es, dentro de los tres primeros meses de cada año.</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Así las cosas, las ESAL que no cumplan con su deber de renovación de la inscripción en el registro de entidades sin ánimo de lucro durante 5 años, quedarán disueltas y en estado de liquidación en virtud de lo establecido en el numeral 1 del artículo 31 de la Ley 1727 de 2014.</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xml:space="preserve">Ahora bien, frente al tema en consulta, es importante precisar que fue la Ley 1429 de 2010 la que en el artículo 29 consagró la figura de la reactivación de las sociedades, la cual permite a las sociedades comerciales y a las sucursales de sociedad extranjera, cuando se encuentren en proceso de liquidación, la posibilidad de reactivarse, siempre y cuando se cumpla con los requisitos y formalidades que la misma disposición contempla, como se indicó en el punto 4 de este escrito. Sin embargo, frente a otras personas jurídicas, </w:t>
      </w:r>
      <w:proofErr w:type="spellStart"/>
      <w:r w:rsidRPr="00E40FAC">
        <w:rPr>
          <w:rFonts w:eastAsia="Times New Roman" w:cs="Times New Roman"/>
          <w:szCs w:val="24"/>
          <w:lang w:eastAsia="es-CO"/>
        </w:rPr>
        <w:t>vgr</w:t>
      </w:r>
      <w:proofErr w:type="spellEnd"/>
      <w:r w:rsidRPr="00E40FAC">
        <w:rPr>
          <w:rFonts w:eastAsia="Times New Roman" w:cs="Times New Roman"/>
          <w:szCs w:val="24"/>
          <w:lang w:eastAsia="es-CO"/>
        </w:rPr>
        <w:t xml:space="preserve">. </w:t>
      </w:r>
      <w:proofErr w:type="gramStart"/>
      <w:r w:rsidRPr="00E40FAC">
        <w:rPr>
          <w:rFonts w:eastAsia="Times New Roman" w:cs="Times New Roman"/>
          <w:szCs w:val="24"/>
          <w:lang w:eastAsia="es-CO"/>
        </w:rPr>
        <w:t>las</w:t>
      </w:r>
      <w:proofErr w:type="gramEnd"/>
      <w:r w:rsidRPr="00E40FAC">
        <w:rPr>
          <w:rFonts w:eastAsia="Times New Roman" w:cs="Times New Roman"/>
          <w:szCs w:val="24"/>
          <w:lang w:eastAsia="es-CO"/>
        </w:rPr>
        <w:t xml:space="preserve"> entidades sin ánimo de lucro, la mencionada disposición no hizo referencia alguna.</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No obstante lo anterior, la misma Ley 1429 de 2010, en su artículo 24 así como el artículo 220 del Código de Comercio, prevén la posibilidad de que los asociados enerven la causal de disolución, en los siguientes términos:</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w:t>
      </w:r>
      <w:r w:rsidRPr="00E40FAC">
        <w:rPr>
          <w:rFonts w:eastAsia="Times New Roman" w:cs="Times New Roman"/>
          <w:b/>
          <w:bCs/>
          <w:i/>
          <w:iCs/>
          <w:szCs w:val="24"/>
          <w:lang w:eastAsia="es-CO"/>
        </w:rPr>
        <w:t>ARTÍCULO 24. DETERMINACIÓN DE LA CAUSAL DE DISOLUCIÓN DE UNA SOCIEDAD. </w:t>
      </w:r>
      <w:r w:rsidRPr="00E40FAC">
        <w:rPr>
          <w:rFonts w:eastAsia="Times New Roman" w:cs="Times New Roman"/>
          <w:i/>
          <w:iCs/>
          <w:szCs w:val="24"/>
          <w:lang w:eastAsia="es-CO"/>
        </w:rPr>
        <w:t>Cuando la disolución requiera de declaración por parte de la asamblea general de accionistas o de la junta de socios, los asociados, por la mayoría establecida en los estatutos o en la ley, deberán declarar disuelta la sociedad por ocurrencia de la causal respectiva e inscribirán el acta en el registro mercantil.</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u w:val="single"/>
          <w:lang w:eastAsia="es-CO"/>
        </w:rPr>
        <w:t>Los asociados podrán evitar la disolución de la sociedad adoptando las modificaciones que sean del caso</w:t>
      </w:r>
      <w:r w:rsidRPr="00E40FAC">
        <w:rPr>
          <w:rFonts w:eastAsia="Times New Roman" w:cs="Times New Roman"/>
          <w:i/>
          <w:iCs/>
          <w:szCs w:val="24"/>
          <w:lang w:eastAsia="es-CO"/>
        </w:rPr>
        <w:t>, según la causal ocurrida, siempre que el acta que contenga el acuerdo se inscriba en el registro mercantil dentro de los dieciocho meses siguientes a la ocurrencia de la causal.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lastRenderedPageBreak/>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b/>
          <w:bCs/>
          <w:i/>
          <w:iCs/>
          <w:szCs w:val="24"/>
          <w:lang w:eastAsia="es-CO"/>
        </w:rPr>
        <w:t>“ARTÍCULO 220. DECLARACIÓN DE DISOLUCIÓN DE LA SOCIEDAD. </w:t>
      </w:r>
      <w:r w:rsidRPr="00E40FAC">
        <w:rPr>
          <w:rFonts w:eastAsia="Times New Roman" w:cs="Times New Roman"/>
          <w:i/>
          <w:iCs/>
          <w:szCs w:val="24"/>
          <w:u w:val="single"/>
          <w:lang w:eastAsia="es-CO"/>
        </w:rPr>
        <w:t>Cuando la disolución provenga de causales distintas de las indicadas en el artículo anterior</w:t>
      </w:r>
      <w:r w:rsidRPr="00E40FAC">
        <w:rPr>
          <w:rFonts w:eastAsia="Times New Roman" w:cs="Times New Roman"/>
          <w:i/>
          <w:iCs/>
          <w:szCs w:val="24"/>
          <w:lang w:eastAsia="es-CO"/>
        </w:rPr>
        <w:t>, los asociados deberán declarar disuelta la sociedad por ocurrencia de la causal respectiva y darán cumplimiento a las formalidades exigidas para las reformas del control social.</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ind w:left="180"/>
        <w:rPr>
          <w:rFonts w:eastAsia="Times New Roman" w:cs="Times New Roman"/>
          <w:szCs w:val="24"/>
          <w:lang w:eastAsia="es-CO"/>
        </w:rPr>
      </w:pPr>
      <w:r w:rsidRPr="00E40FAC">
        <w:rPr>
          <w:rFonts w:eastAsia="Times New Roman" w:cs="Times New Roman"/>
          <w:i/>
          <w:iCs/>
          <w:szCs w:val="24"/>
          <w:lang w:eastAsia="es-CO"/>
        </w:rPr>
        <w:t>No obstante, </w:t>
      </w:r>
      <w:r w:rsidRPr="00E40FAC">
        <w:rPr>
          <w:rFonts w:eastAsia="Times New Roman" w:cs="Times New Roman"/>
          <w:i/>
          <w:iCs/>
          <w:szCs w:val="24"/>
          <w:u w:val="single"/>
          <w:lang w:eastAsia="es-CO"/>
        </w:rPr>
        <w:t>los asociados podrán evitar la disolución de la sociedad adoptando las modificaciones que sean del caso</w:t>
      </w:r>
      <w:r w:rsidRPr="00E40FAC">
        <w:rPr>
          <w:rFonts w:eastAsia="Times New Roman" w:cs="Times New Roman"/>
          <w:i/>
          <w:iCs/>
          <w:szCs w:val="24"/>
          <w:lang w:eastAsia="es-CO"/>
        </w:rPr>
        <w:t>, según la causal ocurrida y observando las reglas prescritas para las reformas del contrato, siempre que el acuerdo se formalice dentro de los seis meses siguientes a la ocurrencia de la causal.”</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i/>
          <w:i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Adicionalmente, el Decreto 1074 de 2015, en el artículo 2.2.2.40.1.10 dispone que “</w:t>
      </w:r>
      <w:r w:rsidRPr="00E40FAC">
        <w:rPr>
          <w:rFonts w:eastAsia="Times New Roman" w:cs="Times New Roman"/>
          <w:i/>
          <w:iCs/>
          <w:szCs w:val="24"/>
          <w:lang w:eastAsia="es-CO"/>
        </w:rPr>
        <w:t>para efecto de la inscripción de los demás actos y documentos de las entidades sin ánimo de lucro, las Cámaras de Comercio deberán constatar el cumplimiento de los requisitos formales para su procedencia, en la misma forma establecida en el Código de Comercio para las sociedades comerciales.”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xml:space="preserve">En este orden, frente a su inquietud, sobre la posibilidad que las Entidades sin Ánimo de Lucro -ESAL puedan reactivarse y evitar la liquidación de la entidad, cuya </w:t>
      </w:r>
      <w:proofErr w:type="spellStart"/>
      <w:r w:rsidRPr="00E40FAC">
        <w:rPr>
          <w:rFonts w:eastAsia="Times New Roman" w:cs="Times New Roman"/>
          <w:szCs w:val="24"/>
          <w:lang w:eastAsia="es-CO"/>
        </w:rPr>
        <w:t>causal</w:t>
      </w:r>
      <w:proofErr w:type="spellEnd"/>
      <w:r w:rsidRPr="00E40FAC">
        <w:rPr>
          <w:rFonts w:eastAsia="Times New Roman" w:cs="Times New Roman"/>
          <w:szCs w:val="24"/>
          <w:lang w:eastAsia="es-CO"/>
        </w:rPr>
        <w:t xml:space="preserve"> de disolución obedeció a la no renovación de su inscripción durante los últimos cinco años, esta Oficina considera que no existe disposición legal que impida a las Cámaras de Comercio en virtud de lo previsto en el artículo 2.2.2.40.1.10 del Decreto 1074 de 2015, que puedan constatar que las entidades sin ánimo de lucro que se encuentren interesadas en enervar la causal de disolución del artículo 31 de la Ley 1727 de 2014, se pongan al día en el pago de sus renovaciones atrasadas, dentro de los términos y en las condiciones previstas en el Código de Comercio (artículo 220) y en la Ley 1429 de 2010 (artículo 24).</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b/>
          <w:szCs w:val="24"/>
          <w:lang w:eastAsia="es-CO"/>
        </w:rPr>
      </w:pPr>
      <w:r w:rsidRPr="00E40FAC">
        <w:rPr>
          <w:rFonts w:eastAsia="Times New Roman" w:cs="Times New Roman"/>
          <w:b/>
          <w:szCs w:val="24"/>
          <w:lang w:eastAsia="es-CO"/>
        </w:rPr>
        <w:t>En consecuencia y conforme a lo señalado, las ESAL que en virtud de lo dispuesto en el artículo 31 de la Ley 1727 de 2014 se encuentren en disolución y en proceso de liquidación podrán reactivarse siempre que se pongan al día en el pago de sus renovaciones atrasadas y cumplan con todas las condiciones y requisitos establecidos en el artículo 29 de la Ley 1429 de 2010, que les sean aplicables.</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Finalmente le informamos que algunos conceptos de interés general emitidos por la Oficina Jurídica, así como las resoluciones y circulares proferidas por esta Superintendencia, las puede consultar en nuestra página web </w:t>
      </w:r>
      <w:hyperlink r:id="rId4" w:history="1">
        <w:r w:rsidRPr="00E40FAC">
          <w:rPr>
            <w:rFonts w:eastAsia="Times New Roman" w:cs="Times New Roman"/>
            <w:b/>
            <w:bCs/>
            <w:szCs w:val="24"/>
            <w:lang w:eastAsia="es-CO"/>
          </w:rPr>
          <w:t>http://</w:t>
        </w:r>
        <w:proofErr w:type="spellStart"/>
        <w:r w:rsidRPr="00E40FAC">
          <w:rPr>
            <w:rFonts w:eastAsia="Times New Roman" w:cs="Times New Roman"/>
            <w:b/>
            <w:bCs/>
            <w:szCs w:val="24"/>
            <w:lang w:eastAsia="es-CO"/>
          </w:rPr>
          <w:t>www.sic.gov.co</w:t>
        </w:r>
        <w:proofErr w:type="spellEnd"/>
        <w:r w:rsidRPr="00E40FAC">
          <w:rPr>
            <w:rFonts w:eastAsia="Times New Roman" w:cs="Times New Roman"/>
            <w:b/>
            <w:bCs/>
            <w:szCs w:val="24"/>
            <w:lang w:eastAsia="es-CO"/>
          </w:rPr>
          <w:t>/</w:t>
        </w:r>
        <w:proofErr w:type="spellStart"/>
        <w:r w:rsidRPr="00E40FAC">
          <w:rPr>
            <w:rFonts w:eastAsia="Times New Roman" w:cs="Times New Roman"/>
            <w:b/>
            <w:bCs/>
            <w:szCs w:val="24"/>
            <w:lang w:eastAsia="es-CO"/>
          </w:rPr>
          <w:t>drupal</w:t>
        </w:r>
        <w:proofErr w:type="spellEnd"/>
        <w:r w:rsidRPr="00E40FAC">
          <w:rPr>
            <w:rFonts w:eastAsia="Times New Roman" w:cs="Times New Roman"/>
            <w:b/>
            <w:bCs/>
            <w:szCs w:val="24"/>
            <w:lang w:eastAsia="es-CO"/>
          </w:rPr>
          <w:t>/Doctrina-1</w:t>
        </w:r>
      </w:hyperlink>
      <w:r w:rsidRPr="00E40FAC">
        <w:rPr>
          <w:rFonts w:eastAsia="Times New Roman" w:cs="Times New Roman"/>
          <w:b/>
          <w:bCs/>
          <w:szCs w:val="24"/>
          <w:lang w:eastAsia="es-CO"/>
        </w:rPr>
        <w:t> (sic)</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En ese orden de ideas, esperamos haber atendido satisfactoriamente su consulta, reiterándole que la misma se expone bajo los parámetros del artículo 28 de la ley 1755 de 2015, esto es, bajo el entendido que las mismas no comprometen la responsabilidad de esta Superintendencia ni son de obligatorio cumplimiento ni ejecución.</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Atentamente,</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 </w:t>
      </w:r>
    </w:p>
    <w:p w:rsidR="00E40FAC" w:rsidRPr="00E40FAC" w:rsidRDefault="00E40FAC" w:rsidP="00E40FAC">
      <w:pPr>
        <w:spacing w:line="240" w:lineRule="auto"/>
        <w:rPr>
          <w:rFonts w:eastAsia="Times New Roman" w:cs="Times New Roman"/>
          <w:szCs w:val="24"/>
          <w:lang w:eastAsia="es-CO"/>
        </w:rPr>
      </w:pPr>
      <w:r w:rsidRPr="00E40FAC">
        <w:rPr>
          <w:rFonts w:eastAsia="Times New Roman" w:cs="Times New Roman"/>
          <w:b/>
          <w:bCs/>
          <w:szCs w:val="24"/>
          <w:lang w:eastAsia="es-CO"/>
        </w:rPr>
        <w:t>JAZMÍN ROCÍO SOACHA PEDRAZA</w:t>
      </w:r>
    </w:p>
    <w:p w:rsidR="00E40FAC" w:rsidRDefault="00E40FAC" w:rsidP="00E40FAC">
      <w:pPr>
        <w:spacing w:line="240" w:lineRule="auto"/>
        <w:rPr>
          <w:rFonts w:eastAsia="Times New Roman" w:cs="Times New Roman"/>
          <w:szCs w:val="24"/>
          <w:lang w:eastAsia="es-CO"/>
        </w:rPr>
      </w:pPr>
      <w:r w:rsidRPr="00E40FAC">
        <w:rPr>
          <w:rFonts w:eastAsia="Times New Roman" w:cs="Times New Roman"/>
          <w:szCs w:val="24"/>
          <w:lang w:eastAsia="es-CO"/>
        </w:rPr>
        <w:t>JEFE OFICINA ASESORA JURÍDICA</w:t>
      </w:r>
    </w:p>
    <w:p w:rsidR="00E40FAC" w:rsidRPr="00E40FAC" w:rsidRDefault="00E40FAC" w:rsidP="00E40FAC">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rsidR="00E40FAC" w:rsidRPr="00E40FAC" w:rsidRDefault="00E40FAC" w:rsidP="00E40FAC">
      <w:pPr>
        <w:spacing w:after="285" w:line="240" w:lineRule="auto"/>
        <w:rPr>
          <w:rFonts w:eastAsia="Times New Roman" w:cs="Times New Roman"/>
          <w:szCs w:val="24"/>
          <w:lang w:eastAsia="es-CO"/>
        </w:rPr>
      </w:pPr>
      <w:r w:rsidRPr="00E40FAC">
        <w:rPr>
          <w:rFonts w:eastAsia="Times New Roman" w:cs="Times New Roman"/>
          <w:szCs w:val="24"/>
          <w:lang w:eastAsia="es-CO"/>
        </w:rPr>
        <w:t> </w:t>
      </w:r>
    </w:p>
    <w:p w:rsidR="00961BFA" w:rsidRPr="00E40FAC" w:rsidRDefault="00961BFA">
      <w:pPr>
        <w:rPr>
          <w:rFonts w:cs="Times New Roman"/>
          <w:szCs w:val="24"/>
        </w:rPr>
      </w:pPr>
    </w:p>
    <w:sectPr w:rsidR="00961BFA" w:rsidRPr="00E40FAC"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AC"/>
    <w:rsid w:val="0029351E"/>
    <w:rsid w:val="00961BFA"/>
    <w:rsid w:val="00B94BED"/>
    <w:rsid w:val="00E3651C"/>
    <w:rsid w:val="00E40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0FDF2-1976-4C1D-829E-B88E0114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c.gov.co/Doctrin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4416</Words>
  <Characters>24291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2017-08-03T22:27:00Z</dcterms:created>
  <dcterms:modified xsi:type="dcterms:W3CDTF">2017-08-03T22:33:00Z</dcterms:modified>
</cp:coreProperties>
</file>