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D0" w:rsidRPr="009C75D0" w:rsidRDefault="009C75D0" w:rsidP="009C75D0">
      <w:pPr>
        <w:spacing w:line="240" w:lineRule="auto"/>
        <w:jc w:val="center"/>
        <w:rPr>
          <w:rFonts w:eastAsia="Times New Roman" w:cs="Times New Roman"/>
          <w:szCs w:val="24"/>
          <w:lang w:eastAsia="es-CO"/>
        </w:rPr>
      </w:pPr>
      <w:r w:rsidRPr="009C75D0">
        <w:rPr>
          <w:rFonts w:eastAsia="Times New Roman" w:cs="Times New Roman"/>
          <w:b/>
          <w:bCs/>
          <w:szCs w:val="24"/>
          <w:lang w:eastAsia="es-CO"/>
        </w:rPr>
        <w:t>OFICIO Nº 902085</w:t>
      </w:r>
    </w:p>
    <w:p w:rsidR="009C75D0" w:rsidRPr="009C75D0" w:rsidRDefault="009C75D0" w:rsidP="009C75D0">
      <w:pPr>
        <w:spacing w:line="240" w:lineRule="auto"/>
        <w:jc w:val="center"/>
        <w:rPr>
          <w:rFonts w:eastAsia="Times New Roman" w:cs="Times New Roman"/>
          <w:szCs w:val="24"/>
          <w:lang w:eastAsia="es-CO"/>
        </w:rPr>
      </w:pPr>
      <w:r w:rsidRPr="009C75D0">
        <w:rPr>
          <w:rFonts w:eastAsia="Times New Roman" w:cs="Times New Roman"/>
          <w:b/>
          <w:bCs/>
          <w:szCs w:val="24"/>
          <w:lang w:eastAsia="es-CO"/>
        </w:rPr>
        <w:t>24-03-2017</w:t>
      </w:r>
    </w:p>
    <w:p w:rsidR="009C75D0" w:rsidRPr="009C75D0" w:rsidRDefault="009C75D0" w:rsidP="009C75D0">
      <w:pPr>
        <w:spacing w:line="240" w:lineRule="auto"/>
        <w:jc w:val="center"/>
        <w:rPr>
          <w:rFonts w:eastAsia="Times New Roman" w:cs="Times New Roman"/>
          <w:szCs w:val="24"/>
          <w:lang w:eastAsia="es-CO"/>
        </w:rPr>
      </w:pPr>
      <w:r w:rsidRPr="009C75D0">
        <w:rPr>
          <w:rFonts w:eastAsia="Times New Roman" w:cs="Times New Roman"/>
          <w:b/>
          <w:bCs/>
          <w:szCs w:val="24"/>
          <w:lang w:eastAsia="es-CO"/>
        </w:rPr>
        <w:t>DIAN</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Bogotá, D.C.</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Señora</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b/>
          <w:bCs/>
          <w:szCs w:val="24"/>
          <w:lang w:eastAsia="es-CO"/>
        </w:rPr>
        <w:t>AURA MARIA ESCAMILLA OSPINA</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Calle 63 A Nº 68 F-12</w:t>
      </w:r>
    </w:p>
    <w:p w:rsidR="009C75D0" w:rsidRPr="009C75D0" w:rsidRDefault="0006144B" w:rsidP="009C75D0">
      <w:pPr>
        <w:spacing w:line="240" w:lineRule="auto"/>
        <w:rPr>
          <w:rFonts w:eastAsia="Times New Roman" w:cs="Times New Roman"/>
          <w:szCs w:val="24"/>
          <w:lang w:eastAsia="es-CO"/>
        </w:rPr>
      </w:pPr>
      <w:hyperlink r:id="rId4" w:history="1">
        <w:proofErr w:type="spellStart"/>
        <w:r w:rsidR="009C75D0" w:rsidRPr="009C75D0">
          <w:rPr>
            <w:rFonts w:eastAsia="Times New Roman" w:cs="Times New Roman"/>
            <w:szCs w:val="24"/>
            <w:lang w:eastAsia="es-CO"/>
          </w:rPr>
          <w:t>canotaje.bogotadc@gmail.com</w:t>
        </w:r>
        <w:proofErr w:type="spellEnd"/>
      </w:hyperlink>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Bogotá D.C.</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b/>
          <w:bCs/>
          <w:szCs w:val="24"/>
          <w:lang w:eastAsia="es-CO"/>
        </w:rPr>
        <w:t> </w:t>
      </w:r>
    </w:p>
    <w:p w:rsidR="0006144B" w:rsidRDefault="0006144B" w:rsidP="009C75D0">
      <w:pPr>
        <w:spacing w:line="240" w:lineRule="auto"/>
        <w:rPr>
          <w:rFonts w:eastAsia="Times New Roman" w:cs="Times New Roman"/>
          <w:b/>
          <w:bCs/>
          <w:szCs w:val="24"/>
          <w:lang w:eastAsia="es-CO"/>
        </w:rPr>
      </w:pP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b/>
          <w:bCs/>
          <w:szCs w:val="24"/>
          <w:lang w:eastAsia="es-CO"/>
        </w:rPr>
        <w:t>Tema: </w:t>
      </w:r>
      <w:r w:rsidRPr="009C75D0">
        <w:rPr>
          <w:rFonts w:eastAsia="Times New Roman" w:cs="Times New Roman"/>
          <w:szCs w:val="24"/>
          <w:lang w:eastAsia="es-CO"/>
        </w:rPr>
        <w:t>Procedimiento Tributario.</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b/>
          <w:bCs/>
          <w:szCs w:val="24"/>
          <w:lang w:eastAsia="es-CO"/>
        </w:rPr>
        <w:t>Descriptor: </w:t>
      </w:r>
      <w:r w:rsidRPr="009C75D0">
        <w:rPr>
          <w:rFonts w:eastAsia="Times New Roman" w:cs="Times New Roman"/>
          <w:szCs w:val="24"/>
          <w:lang w:eastAsia="es-CO"/>
        </w:rPr>
        <w:t>Factura/Documentos equivalentes.</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b/>
          <w:bCs/>
          <w:szCs w:val="24"/>
          <w:lang w:eastAsia="es-CO"/>
        </w:rPr>
        <w:t>Fuentes formales: </w:t>
      </w:r>
      <w:r w:rsidRPr="009C75D0">
        <w:rPr>
          <w:rFonts w:eastAsia="Times New Roman" w:cs="Times New Roman"/>
          <w:szCs w:val="24"/>
          <w:lang w:eastAsia="es-CO"/>
        </w:rPr>
        <w:t>Estatuto Tributario: artículos </w:t>
      </w:r>
      <w:hyperlink r:id="rId5" w:tooltip="Estatuto Tributario CETA" w:history="1">
        <w:r w:rsidRPr="009C75D0">
          <w:rPr>
            <w:rFonts w:eastAsia="Times New Roman" w:cs="Times New Roman"/>
            <w:szCs w:val="24"/>
            <w:lang w:eastAsia="es-CO"/>
          </w:rPr>
          <w:t>615</w:t>
        </w:r>
      </w:hyperlink>
      <w:r w:rsidRPr="009C75D0">
        <w:rPr>
          <w:rFonts w:eastAsia="Times New Roman" w:cs="Times New Roman"/>
          <w:szCs w:val="24"/>
          <w:lang w:eastAsia="es-CO"/>
        </w:rPr>
        <w:t>, </w:t>
      </w:r>
      <w:hyperlink r:id="rId6" w:tooltip="Estatuto Tributario CETA" w:history="1">
        <w:r w:rsidRPr="009C75D0">
          <w:rPr>
            <w:rFonts w:eastAsia="Times New Roman" w:cs="Times New Roman"/>
            <w:szCs w:val="24"/>
            <w:lang w:eastAsia="es-CO"/>
          </w:rPr>
          <w:t>616-1</w:t>
        </w:r>
      </w:hyperlink>
      <w:r w:rsidRPr="009C75D0">
        <w:rPr>
          <w:rFonts w:eastAsia="Times New Roman" w:cs="Times New Roman"/>
          <w:szCs w:val="24"/>
          <w:lang w:eastAsia="es-CO"/>
        </w:rPr>
        <w:t>, </w:t>
      </w:r>
      <w:hyperlink r:id="rId7" w:tooltip="Estatuto Tributario CETA" w:history="1">
        <w:r w:rsidRPr="009C75D0">
          <w:rPr>
            <w:rFonts w:eastAsia="Times New Roman" w:cs="Times New Roman"/>
            <w:szCs w:val="24"/>
            <w:lang w:eastAsia="es-CO"/>
          </w:rPr>
          <w:t>616-2</w:t>
        </w:r>
      </w:hyperlink>
      <w:r w:rsidRPr="009C75D0">
        <w:rPr>
          <w:rFonts w:eastAsia="Times New Roman" w:cs="Times New Roman"/>
          <w:szCs w:val="24"/>
          <w:lang w:eastAsia="es-CO"/>
        </w:rPr>
        <w:t>, </w:t>
      </w:r>
      <w:hyperlink r:id="rId8" w:tooltip="Estatuto Tributario CETA" w:history="1">
        <w:r w:rsidRPr="009C75D0">
          <w:rPr>
            <w:rFonts w:eastAsia="Times New Roman" w:cs="Times New Roman"/>
            <w:szCs w:val="24"/>
            <w:lang w:eastAsia="es-CO"/>
          </w:rPr>
          <w:t>771-2</w:t>
        </w:r>
      </w:hyperlink>
      <w:r w:rsidRPr="009C75D0">
        <w:rPr>
          <w:rFonts w:eastAsia="Times New Roman" w:cs="Times New Roman"/>
          <w:szCs w:val="24"/>
          <w:lang w:eastAsia="es-CO"/>
        </w:rPr>
        <w:t>; Decreto 1165 de 1996, artículo 5; Decreto 1001 de 1997, artículos 2, 4, 8, 11, 12, 16 y 17.</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Cordial saludo, señora Aura María.</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Pregunta usted si una Federación deportiva, persona jurídica, en el marco del Estatuto Tributario y la implementación de la (sic) Normas Internacionales de Información Financiera - NIIF, puede expedir </w:t>
      </w:r>
      <w:r w:rsidRPr="009C75D0">
        <w:rPr>
          <w:rFonts w:eastAsia="Times New Roman" w:cs="Times New Roman"/>
          <w:b/>
          <w:bCs/>
          <w:szCs w:val="24"/>
          <w:lang w:eastAsia="es-CO"/>
        </w:rPr>
        <w:t>cuentas</w:t>
      </w:r>
      <w:r w:rsidRPr="009C75D0">
        <w:rPr>
          <w:rFonts w:eastAsia="Times New Roman" w:cs="Times New Roman"/>
          <w:szCs w:val="24"/>
          <w:lang w:eastAsia="es-CO"/>
        </w:rPr>
        <w:t> </w:t>
      </w:r>
      <w:r w:rsidRPr="009C75D0">
        <w:rPr>
          <w:rFonts w:eastAsia="Times New Roman" w:cs="Times New Roman"/>
          <w:b/>
          <w:bCs/>
          <w:szCs w:val="24"/>
          <w:lang w:eastAsia="es-CO"/>
        </w:rPr>
        <w:t>de cobro </w:t>
      </w:r>
      <w:r w:rsidRPr="009C75D0">
        <w:rPr>
          <w:rFonts w:eastAsia="Times New Roman" w:cs="Times New Roman"/>
          <w:szCs w:val="24"/>
          <w:lang w:eastAsia="es-CO"/>
        </w:rPr>
        <w:t>en vez de factura, si es documento equivalente, y si en este caso debe tener de igual manera una resolución de facturación.</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Al respecto se observa:</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El </w:t>
      </w:r>
      <w:hyperlink r:id="rId9" w:tooltip="Estatuto Tributario CETA" w:history="1">
        <w:r w:rsidRPr="009C75D0">
          <w:rPr>
            <w:rFonts w:eastAsia="Times New Roman" w:cs="Times New Roman"/>
            <w:szCs w:val="24"/>
            <w:lang w:eastAsia="es-CO"/>
          </w:rPr>
          <w:t>artículo 615</w:t>
        </w:r>
      </w:hyperlink>
      <w:r w:rsidRPr="009C75D0">
        <w:rPr>
          <w:rFonts w:eastAsia="Times New Roman" w:cs="Times New Roman"/>
          <w:szCs w:val="24"/>
          <w:lang w:eastAsia="es-CO"/>
        </w:rPr>
        <w:t> del Estatuto Tributario, señala que </w:t>
      </w:r>
      <w:r w:rsidRPr="009C75D0">
        <w:rPr>
          <w:rFonts w:eastAsia="Times New Roman" w:cs="Times New Roman"/>
          <w:b/>
          <w:bCs/>
          <w:szCs w:val="24"/>
          <w:lang w:eastAsia="es-CO"/>
        </w:rPr>
        <w:t>para efectos tributarios, </w:t>
      </w:r>
      <w:r w:rsidRPr="009C75D0">
        <w:rPr>
          <w:rFonts w:eastAsia="Times New Roman" w:cs="Times New Roman"/>
          <w:szCs w:val="24"/>
          <w:lang w:eastAsia="es-CO"/>
        </w:rPr>
        <w:t>todas las personas o entidades que tengan la calidad de</w:t>
      </w:r>
      <w:r w:rsidRPr="009C75D0">
        <w:rPr>
          <w:rFonts w:eastAsia="Times New Roman" w:cs="Times New Roman"/>
          <w:b/>
          <w:bCs/>
          <w:szCs w:val="24"/>
          <w:lang w:eastAsia="es-CO"/>
        </w:rPr>
        <w:t> </w:t>
      </w:r>
      <w:r w:rsidRPr="009C75D0">
        <w:rPr>
          <w:rFonts w:eastAsia="Times New Roman" w:cs="Times New Roman"/>
          <w:szCs w:val="24"/>
          <w:lang w:eastAsia="es-CO"/>
        </w:rPr>
        <w:t>comerciantes, ejerzan profesiones liberales o presten servicios inherentes</w:t>
      </w:r>
      <w:r w:rsidRPr="009C75D0">
        <w:rPr>
          <w:rFonts w:eastAsia="Times New Roman" w:cs="Times New Roman"/>
          <w:b/>
          <w:bCs/>
          <w:szCs w:val="24"/>
          <w:lang w:eastAsia="es-CO"/>
        </w:rPr>
        <w:t> </w:t>
      </w:r>
      <w:r w:rsidRPr="009C75D0">
        <w:rPr>
          <w:rFonts w:eastAsia="Times New Roman" w:cs="Times New Roman"/>
          <w:szCs w:val="24"/>
          <w:lang w:eastAsia="es-CO"/>
        </w:rPr>
        <w:t>a éstas, o enajenen bienes producto de la actividad agrícola o ganadera,</w:t>
      </w:r>
      <w:r w:rsidRPr="009C75D0">
        <w:rPr>
          <w:rFonts w:eastAsia="Times New Roman" w:cs="Times New Roman"/>
          <w:b/>
          <w:bCs/>
          <w:szCs w:val="24"/>
          <w:lang w:eastAsia="es-CO"/>
        </w:rPr>
        <w:t> </w:t>
      </w:r>
      <w:r w:rsidRPr="009C75D0">
        <w:rPr>
          <w:rFonts w:eastAsia="Times New Roman" w:cs="Times New Roman"/>
          <w:szCs w:val="24"/>
          <w:lang w:eastAsia="es-CO"/>
        </w:rPr>
        <w:t xml:space="preserve">deberán expedir factura o documento equivalente, y conservar copia de </w:t>
      </w:r>
      <w:proofErr w:type="spellStart"/>
      <w:r w:rsidRPr="009C75D0">
        <w:rPr>
          <w:rFonts w:eastAsia="Times New Roman" w:cs="Times New Roman"/>
          <w:szCs w:val="24"/>
          <w:lang w:eastAsia="es-CO"/>
        </w:rPr>
        <w:t>lamisma</w:t>
      </w:r>
      <w:proofErr w:type="spellEnd"/>
      <w:r w:rsidRPr="009C75D0">
        <w:rPr>
          <w:rFonts w:eastAsia="Times New Roman" w:cs="Times New Roman"/>
          <w:szCs w:val="24"/>
          <w:lang w:eastAsia="es-CO"/>
        </w:rPr>
        <w:t xml:space="preserve"> por cada de las operaciones de venta o prestación de servicios que</w:t>
      </w:r>
      <w:r w:rsidRPr="009C75D0">
        <w:rPr>
          <w:rFonts w:eastAsia="Times New Roman" w:cs="Times New Roman"/>
          <w:b/>
          <w:bCs/>
          <w:szCs w:val="24"/>
          <w:lang w:eastAsia="es-CO"/>
        </w:rPr>
        <w:t> </w:t>
      </w:r>
      <w:r w:rsidRPr="009C75D0">
        <w:rPr>
          <w:rFonts w:eastAsia="Times New Roman" w:cs="Times New Roman"/>
          <w:szCs w:val="24"/>
          <w:lang w:eastAsia="es-CO"/>
        </w:rPr>
        <w:t>efectúen, independientemente de su calidad de contribuyente y no</w:t>
      </w:r>
      <w:r w:rsidRPr="009C75D0">
        <w:rPr>
          <w:rFonts w:eastAsia="Times New Roman" w:cs="Times New Roman"/>
          <w:b/>
          <w:bCs/>
          <w:szCs w:val="24"/>
          <w:lang w:eastAsia="es-CO"/>
        </w:rPr>
        <w:t> </w:t>
      </w:r>
      <w:r w:rsidRPr="009C75D0">
        <w:rPr>
          <w:rFonts w:eastAsia="Times New Roman" w:cs="Times New Roman"/>
          <w:szCs w:val="24"/>
          <w:lang w:eastAsia="es-CO"/>
        </w:rPr>
        <w:t>contribuyente de impuestos administrados por la DIAN.</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Así las cosas, sí la persona o entidad ejerce actos mercantiles de acuerdo con el artículo 20 del Código de Comercio, o profesiones liberales o servicios inherentes a ella, están en la obligación de expedir factura con los requisitos contenidos en el </w:t>
      </w:r>
      <w:hyperlink r:id="rId10" w:tooltip="Estatuto Tributario CETA" w:history="1">
        <w:r w:rsidRPr="009C75D0">
          <w:rPr>
            <w:rFonts w:eastAsia="Times New Roman" w:cs="Times New Roman"/>
            <w:szCs w:val="24"/>
            <w:lang w:eastAsia="es-CO"/>
          </w:rPr>
          <w:t>artículo 617</w:t>
        </w:r>
      </w:hyperlink>
      <w:r w:rsidRPr="009C75D0">
        <w:rPr>
          <w:rFonts w:eastAsia="Times New Roman" w:cs="Times New Roman"/>
          <w:szCs w:val="24"/>
          <w:lang w:eastAsia="es-CO"/>
        </w:rPr>
        <w:t> del Estatuto Tributario, como</w:t>
      </w:r>
      <w:r w:rsidR="0006144B">
        <w:rPr>
          <w:rFonts w:eastAsia="Times New Roman" w:cs="Times New Roman"/>
          <w:szCs w:val="24"/>
          <w:lang w:eastAsia="es-CO"/>
        </w:rPr>
        <w:t xml:space="preserve"> </w:t>
      </w:r>
      <w:r w:rsidRPr="009C75D0">
        <w:rPr>
          <w:rFonts w:eastAsia="Times New Roman" w:cs="Times New Roman"/>
          <w:szCs w:val="24"/>
          <w:lang w:eastAsia="es-CO"/>
        </w:rPr>
        <w:t>son:</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t>a)    Estar denominada expresamente como factura de venta.</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t>b)    Apellidos y nombre o razón social y NIT del vendedor o de quien presta el servicio.</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t>c)     Apellidos y nombre o razón social y del adquirente de los bienes o servicios, junto con la discriminación del IVA pagado.</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t>d)    Llevar un número que corresponda a un sistema consecutivo de facturas de venta.</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t>e)    Fecha de expedición.</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t>f)     Descripción específica o genérica de los artículos vendidos o servicios prestados.</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t>g)    Valor total de la operación.</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t>h)    Nombre o razón social y NIT del impresor de la factura.</w:t>
      </w:r>
    </w:p>
    <w:p w:rsidR="009C75D0" w:rsidRPr="009C75D0" w:rsidRDefault="009C75D0" w:rsidP="009C75D0">
      <w:pPr>
        <w:spacing w:line="240" w:lineRule="auto"/>
        <w:ind w:left="720" w:hanging="360"/>
        <w:rPr>
          <w:rFonts w:eastAsia="Times New Roman" w:cs="Times New Roman"/>
          <w:szCs w:val="24"/>
          <w:lang w:eastAsia="es-CO"/>
        </w:rPr>
      </w:pPr>
      <w:r w:rsidRPr="009C75D0">
        <w:rPr>
          <w:rFonts w:eastAsia="Times New Roman" w:cs="Times New Roman"/>
          <w:szCs w:val="24"/>
          <w:lang w:eastAsia="es-CO"/>
        </w:rPr>
        <w:lastRenderedPageBreak/>
        <w:t>i)      Indicar la calidad de agente retenedor del impuesto sobre las ventas.</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Es preciso destacar que la obligación de expedir factura o documento equivalente es independiente de que el servicio o el bien que se venda se encuentre sujeto al impuesto sobre las ventas o que la persona sea contribuyente o no, toda vez que la obligación surge en tanto se cumplan los presupuestos del artículo 615 referido, sin importar la operación que se ejecute o la persona o naturaleza jurídica de quien la realice.</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06144B" w:rsidRDefault="009C75D0" w:rsidP="009C75D0">
      <w:pPr>
        <w:spacing w:line="240" w:lineRule="auto"/>
        <w:rPr>
          <w:rFonts w:eastAsia="Times New Roman" w:cs="Times New Roman"/>
          <w:b/>
          <w:szCs w:val="24"/>
          <w:lang w:eastAsia="es-CO"/>
        </w:rPr>
      </w:pPr>
      <w:r w:rsidRPr="0006144B">
        <w:rPr>
          <w:rFonts w:eastAsia="Times New Roman" w:cs="Times New Roman"/>
          <w:b/>
          <w:szCs w:val="24"/>
          <w:lang w:eastAsia="es-CO"/>
        </w:rPr>
        <w:t>También es necesario tener presente que, el Estatuto Tributario en el </w:t>
      </w:r>
      <w:hyperlink r:id="rId11" w:tooltip="Estatuto Tributario CETA" w:history="1">
        <w:r w:rsidRPr="0006144B">
          <w:rPr>
            <w:rFonts w:eastAsia="Times New Roman" w:cs="Times New Roman"/>
            <w:b/>
            <w:szCs w:val="24"/>
            <w:lang w:eastAsia="es-CO"/>
          </w:rPr>
          <w:t>artículo 616-2</w:t>
        </w:r>
      </w:hyperlink>
      <w:r w:rsidRPr="0006144B">
        <w:rPr>
          <w:rFonts w:eastAsia="Times New Roman" w:cs="Times New Roman"/>
          <w:b/>
          <w:szCs w:val="24"/>
          <w:lang w:eastAsia="es-CO"/>
        </w:rPr>
        <w:t>, señala los casos en los cuales no se requiere la expedición de factura, al indicar:</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i/>
          <w:iCs/>
          <w:szCs w:val="24"/>
          <w:lang w:eastAsia="es-CO"/>
        </w:rPr>
        <w:t> </w:t>
      </w:r>
    </w:p>
    <w:p w:rsidR="009C75D0" w:rsidRPr="0006144B" w:rsidRDefault="009C75D0" w:rsidP="009C75D0">
      <w:pPr>
        <w:spacing w:line="240" w:lineRule="auto"/>
        <w:ind w:left="180"/>
        <w:rPr>
          <w:rFonts w:eastAsia="Times New Roman" w:cs="Times New Roman"/>
          <w:b/>
          <w:szCs w:val="24"/>
          <w:lang w:eastAsia="es-CO"/>
        </w:rPr>
      </w:pPr>
      <w:r w:rsidRPr="009C75D0">
        <w:rPr>
          <w:rFonts w:eastAsia="Times New Roman" w:cs="Times New Roman"/>
          <w:i/>
          <w:iCs/>
          <w:szCs w:val="24"/>
          <w:lang w:eastAsia="es-CO"/>
        </w:rPr>
        <w:t>“No se requerirá la expedición de factura en las operaciones realizadas por bancos, corporaciones financieras, corporaciones de ahorro y vivienda y las compañías de financiamiento comercial. Tampoco existirá esta obligación en las ventas efectuadas por los responsables del régimen simplificado, </w:t>
      </w:r>
      <w:r w:rsidRPr="0006144B">
        <w:rPr>
          <w:rFonts w:eastAsia="Times New Roman" w:cs="Times New Roman"/>
          <w:b/>
          <w:bCs/>
          <w:i/>
          <w:iCs/>
          <w:szCs w:val="24"/>
          <w:lang w:eastAsia="es-CO"/>
        </w:rPr>
        <w:t>y en los demás casos que</w:t>
      </w:r>
      <w:r w:rsidRPr="0006144B">
        <w:rPr>
          <w:rFonts w:eastAsia="Times New Roman" w:cs="Times New Roman"/>
          <w:b/>
          <w:i/>
          <w:iCs/>
          <w:szCs w:val="24"/>
          <w:lang w:eastAsia="es-CO"/>
        </w:rPr>
        <w:t> </w:t>
      </w:r>
      <w:r w:rsidRPr="0006144B">
        <w:rPr>
          <w:rFonts w:eastAsia="Times New Roman" w:cs="Times New Roman"/>
          <w:b/>
          <w:bCs/>
          <w:i/>
          <w:iCs/>
          <w:szCs w:val="24"/>
          <w:lang w:eastAsia="es-CO"/>
        </w:rPr>
        <w:t>señale el Gobierno Nacional.” </w:t>
      </w:r>
      <w:r w:rsidRPr="0006144B">
        <w:rPr>
          <w:rFonts w:eastAsia="Times New Roman" w:cs="Times New Roman"/>
          <w:b/>
          <w:i/>
          <w:iCs/>
          <w:szCs w:val="24"/>
          <w:lang w:eastAsia="es-CO"/>
        </w:rPr>
        <w:t>(Resaltado fuera de texto)</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Por su parte, el Decreto 1001 de 1997, en el artículo 2, de manera expresa establece quiénes no se encuentran obligados a expedir factura en sus operaciones, y según puede verificarse, allí no se encuentran señaladas las federaciones deportivas ni las operaciones realizadas por éstas.</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En este contexto y teniendo en cuenta que las federaciones deportivas, como personas jurídicas y las operaciones que realizan, no se encuentran exceptuadas de la obligación de expedir factura o documento equivalente, deben cumplir con este deber legal y para ello deben incluir todos los requisitos de facturación del </w:t>
      </w:r>
      <w:hyperlink r:id="rId12" w:tooltip="Estatuto Tributario CETA" w:history="1">
        <w:r w:rsidRPr="009C75D0">
          <w:rPr>
            <w:rFonts w:eastAsia="Times New Roman" w:cs="Times New Roman"/>
            <w:szCs w:val="24"/>
            <w:lang w:eastAsia="es-CO"/>
          </w:rPr>
          <w:t>artículo 617</w:t>
        </w:r>
      </w:hyperlink>
      <w:r w:rsidRPr="009C75D0">
        <w:rPr>
          <w:rFonts w:eastAsia="Times New Roman" w:cs="Times New Roman"/>
          <w:szCs w:val="24"/>
          <w:lang w:eastAsia="es-CO"/>
        </w:rPr>
        <w:t> del Estatuto Tributario y demás normas reglamentarias.</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06144B" w:rsidRDefault="009C75D0" w:rsidP="009C75D0">
      <w:pPr>
        <w:spacing w:line="240" w:lineRule="auto"/>
        <w:rPr>
          <w:rFonts w:eastAsia="Times New Roman" w:cs="Times New Roman"/>
          <w:b/>
          <w:szCs w:val="24"/>
          <w:lang w:eastAsia="es-CO"/>
        </w:rPr>
      </w:pPr>
      <w:r w:rsidRPr="0006144B">
        <w:rPr>
          <w:rFonts w:eastAsia="Times New Roman" w:cs="Times New Roman"/>
          <w:b/>
          <w:szCs w:val="24"/>
          <w:lang w:eastAsia="es-CO"/>
        </w:rPr>
        <w:t>De otra parte, es preciso tener en cuenta que el mismo Estatuto, en el </w:t>
      </w:r>
      <w:hyperlink r:id="rId13" w:tooltip="Estatuto Tributario CETA" w:history="1">
        <w:r w:rsidRPr="0006144B">
          <w:rPr>
            <w:rFonts w:eastAsia="Times New Roman" w:cs="Times New Roman"/>
            <w:b/>
            <w:szCs w:val="24"/>
            <w:lang w:eastAsia="es-CO"/>
          </w:rPr>
          <w:t>artículo 616-1</w:t>
        </w:r>
      </w:hyperlink>
      <w:r w:rsidRPr="0006144B">
        <w:rPr>
          <w:rFonts w:eastAsia="Times New Roman" w:cs="Times New Roman"/>
          <w:b/>
          <w:szCs w:val="24"/>
          <w:lang w:eastAsia="es-CO"/>
        </w:rPr>
        <w:t>, señalaba como documentos equivalentes a la factura </w:t>
      </w:r>
      <w:r w:rsidRPr="0006144B">
        <w:rPr>
          <w:rFonts w:eastAsia="Times New Roman" w:cs="Times New Roman"/>
          <w:b/>
          <w:i/>
          <w:iCs/>
          <w:szCs w:val="24"/>
          <w:lang w:eastAsia="es-CO"/>
        </w:rPr>
        <w:t>“...</w:t>
      </w:r>
      <w:r w:rsidRPr="0006144B">
        <w:rPr>
          <w:rFonts w:eastAsia="Times New Roman" w:cs="Times New Roman"/>
          <w:b/>
          <w:szCs w:val="24"/>
          <w:lang w:eastAsia="es-CO"/>
        </w:rPr>
        <w:t> </w:t>
      </w:r>
      <w:r w:rsidRPr="0006144B">
        <w:rPr>
          <w:rFonts w:eastAsia="Times New Roman" w:cs="Times New Roman"/>
          <w:b/>
          <w:i/>
          <w:iCs/>
          <w:szCs w:val="24"/>
          <w:lang w:eastAsia="es-CO"/>
        </w:rPr>
        <w:t>los tiquetes de máquina registradora, las boletas de ingreso a</w:t>
      </w:r>
      <w:r w:rsidRPr="0006144B">
        <w:rPr>
          <w:rFonts w:eastAsia="Times New Roman" w:cs="Times New Roman"/>
          <w:b/>
          <w:szCs w:val="24"/>
          <w:lang w:eastAsia="es-CO"/>
        </w:rPr>
        <w:t> </w:t>
      </w:r>
      <w:r w:rsidRPr="0006144B">
        <w:rPr>
          <w:rFonts w:eastAsia="Times New Roman" w:cs="Times New Roman"/>
          <w:b/>
          <w:i/>
          <w:iCs/>
          <w:szCs w:val="24"/>
          <w:lang w:eastAsia="es-CO"/>
        </w:rPr>
        <w:t>espectáculos públicos </w:t>
      </w:r>
      <w:r w:rsidRPr="0006144B">
        <w:rPr>
          <w:rFonts w:eastAsia="Times New Roman" w:cs="Times New Roman"/>
          <w:b/>
          <w:szCs w:val="24"/>
          <w:lang w:eastAsia="es-CO"/>
        </w:rPr>
        <w:t>... </w:t>
      </w:r>
      <w:r w:rsidRPr="0006144B">
        <w:rPr>
          <w:rFonts w:eastAsia="Times New Roman" w:cs="Times New Roman"/>
          <w:b/>
          <w:i/>
          <w:iCs/>
          <w:szCs w:val="24"/>
          <w:lang w:eastAsia="es-CO"/>
        </w:rPr>
        <w:t>y los demás que señale el Gobierno Nacional</w:t>
      </w:r>
      <w:r w:rsidRPr="0006144B">
        <w:rPr>
          <w:rFonts w:eastAsia="Times New Roman" w:cs="Times New Roman"/>
          <w:b/>
          <w:szCs w:val="24"/>
          <w:lang w:eastAsia="es-CO"/>
        </w:rPr>
        <w:t>.”,</w:t>
      </w:r>
      <w:r w:rsidRPr="009C75D0">
        <w:rPr>
          <w:rFonts w:eastAsia="Times New Roman" w:cs="Times New Roman"/>
          <w:szCs w:val="24"/>
          <w:lang w:eastAsia="es-CO"/>
        </w:rPr>
        <w:t xml:space="preserve"> </w:t>
      </w:r>
      <w:r w:rsidRPr="0006144B">
        <w:rPr>
          <w:rFonts w:eastAsia="Times New Roman" w:cs="Times New Roman"/>
          <w:b/>
          <w:szCs w:val="24"/>
          <w:lang w:eastAsia="es-CO"/>
        </w:rPr>
        <w:t>disposición que fue modificada por el artículo 308 de la Ley 1819 de 2016, al establecer de manera genérica que: </w:t>
      </w:r>
      <w:r w:rsidRPr="0006144B">
        <w:rPr>
          <w:rFonts w:eastAsia="Times New Roman" w:cs="Times New Roman"/>
          <w:b/>
          <w:i/>
          <w:iCs/>
          <w:szCs w:val="24"/>
          <w:lang w:eastAsia="es-CO"/>
        </w:rPr>
        <w:t>“Los documentos equivalentes a la</w:t>
      </w:r>
      <w:r w:rsidRPr="0006144B">
        <w:rPr>
          <w:rFonts w:eastAsia="Times New Roman" w:cs="Times New Roman"/>
          <w:b/>
          <w:szCs w:val="24"/>
          <w:lang w:eastAsia="es-CO"/>
        </w:rPr>
        <w:t> </w:t>
      </w:r>
      <w:r w:rsidRPr="0006144B">
        <w:rPr>
          <w:rFonts w:eastAsia="Times New Roman" w:cs="Times New Roman"/>
          <w:b/>
          <w:i/>
          <w:iCs/>
          <w:szCs w:val="24"/>
          <w:lang w:eastAsia="es-CO"/>
        </w:rPr>
        <w:t>factura de venta, corresponderán a aquellos que señale el Gobierno</w:t>
      </w:r>
      <w:r w:rsidRPr="0006144B">
        <w:rPr>
          <w:rFonts w:eastAsia="Times New Roman" w:cs="Times New Roman"/>
          <w:b/>
          <w:szCs w:val="24"/>
          <w:lang w:eastAsia="es-CO"/>
        </w:rPr>
        <w:t> </w:t>
      </w:r>
      <w:r w:rsidRPr="0006144B">
        <w:rPr>
          <w:rFonts w:eastAsia="Times New Roman" w:cs="Times New Roman"/>
          <w:b/>
          <w:i/>
          <w:iCs/>
          <w:szCs w:val="24"/>
          <w:lang w:eastAsia="es-CO"/>
        </w:rPr>
        <w:t>Nacional”.</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06144B" w:rsidRDefault="009C75D0" w:rsidP="009C75D0">
      <w:pPr>
        <w:spacing w:line="240" w:lineRule="auto"/>
        <w:rPr>
          <w:rFonts w:eastAsia="Times New Roman" w:cs="Times New Roman"/>
          <w:b/>
          <w:szCs w:val="24"/>
          <w:lang w:eastAsia="es-CO"/>
        </w:rPr>
      </w:pPr>
      <w:r w:rsidRPr="009C75D0">
        <w:rPr>
          <w:rFonts w:eastAsia="Times New Roman" w:cs="Times New Roman"/>
          <w:szCs w:val="24"/>
          <w:lang w:eastAsia="es-CO"/>
        </w:rPr>
        <w:t xml:space="preserve">Por su parte, el artículo 5 del Decreto 1165 de 1996, los artículos 4, 8, 11, 12, 13, 16 y 17 del Decreto 1001 de 1997, 13 y 20 del Decreto 380 de 1996, 5 del Decreto 3050/97 y 2 del Decreto 1514/98, entre otros, señalan documentos equivalentes. </w:t>
      </w:r>
      <w:r w:rsidRPr="0006144B">
        <w:rPr>
          <w:rFonts w:eastAsia="Times New Roman" w:cs="Times New Roman"/>
          <w:b/>
          <w:szCs w:val="24"/>
          <w:lang w:eastAsia="es-CO"/>
        </w:rPr>
        <w:t xml:space="preserve">Algunos de ellos son: Los tiquetes de máquinas registradoras, las boletas de ingreso a espectáculos públicos, los tiquetes de transporte de pasajeros, los recibos de pago de matrículas y pensiones expedidos por establecimientos de educación reconocidos por el Gobierno; las pólizas de seguros, títulos de capitalización y los respectivos comprobantes de pago; los extractos expedidos por sociedades fiduciarias, fondos de inversión, fondos de inversión extranjera, fondos mutuos de inversión, fondos de valores, fondos de pensiones y cesantías; los contratos de medicina </w:t>
      </w:r>
      <w:proofErr w:type="spellStart"/>
      <w:r w:rsidRPr="0006144B">
        <w:rPr>
          <w:rFonts w:eastAsia="Times New Roman" w:cs="Times New Roman"/>
          <w:b/>
          <w:szCs w:val="24"/>
          <w:lang w:eastAsia="es-CO"/>
        </w:rPr>
        <w:t>prepagada</w:t>
      </w:r>
      <w:proofErr w:type="spellEnd"/>
      <w:r w:rsidRPr="0006144B">
        <w:rPr>
          <w:rFonts w:eastAsia="Times New Roman" w:cs="Times New Roman"/>
          <w:b/>
          <w:szCs w:val="24"/>
          <w:lang w:eastAsia="es-CO"/>
        </w:rPr>
        <w:t>.</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En conclusión, la ley y el reglamento, por autorización de la misma ley, señalan taxativamente los documentos equivalentes, </w:t>
      </w:r>
      <w:r w:rsidRPr="009C75D0">
        <w:rPr>
          <w:rFonts w:eastAsia="Times New Roman" w:cs="Times New Roman"/>
          <w:b/>
          <w:bCs/>
          <w:szCs w:val="24"/>
          <w:lang w:eastAsia="es-CO"/>
        </w:rPr>
        <w:t>sin que la cuenta</w:t>
      </w:r>
      <w:r w:rsidRPr="009C75D0">
        <w:rPr>
          <w:rFonts w:eastAsia="Times New Roman" w:cs="Times New Roman"/>
          <w:szCs w:val="24"/>
          <w:lang w:eastAsia="es-CO"/>
        </w:rPr>
        <w:t> </w:t>
      </w:r>
      <w:r w:rsidRPr="009C75D0">
        <w:rPr>
          <w:rFonts w:eastAsia="Times New Roman" w:cs="Times New Roman"/>
          <w:b/>
          <w:bCs/>
          <w:szCs w:val="24"/>
          <w:lang w:eastAsia="es-CO"/>
        </w:rPr>
        <w:t>de cobro </w:t>
      </w:r>
      <w:r w:rsidRPr="009C75D0">
        <w:rPr>
          <w:rFonts w:eastAsia="Times New Roman" w:cs="Times New Roman"/>
          <w:szCs w:val="24"/>
          <w:lang w:eastAsia="es-CO"/>
        </w:rPr>
        <w:t>se encuentre entre ellos. En consecuencia, existiendo la obligación legal de expedir factura no es posible elaborar cuentas de cobro como equivalente a la misma, documento que para efectos tributarios no tiene eficacia alguna. En efecto, es relevante señalar que la factura es el documento soporte de la operación comercial y, así mismo, l</w:t>
      </w:r>
      <w:r w:rsidRPr="009C75D0">
        <w:rPr>
          <w:rFonts w:eastAsia="Times New Roman" w:cs="Times New Roman"/>
          <w:b/>
          <w:bCs/>
          <w:szCs w:val="24"/>
          <w:lang w:eastAsia="es-CO"/>
        </w:rPr>
        <w:t>a prueba de</w:t>
      </w:r>
      <w:r w:rsidRPr="009C75D0">
        <w:rPr>
          <w:rFonts w:eastAsia="Times New Roman" w:cs="Times New Roman"/>
          <w:szCs w:val="24"/>
          <w:lang w:eastAsia="es-CO"/>
        </w:rPr>
        <w:t> </w:t>
      </w:r>
      <w:r w:rsidRPr="009C75D0">
        <w:rPr>
          <w:rFonts w:eastAsia="Times New Roman" w:cs="Times New Roman"/>
          <w:b/>
          <w:bCs/>
          <w:szCs w:val="24"/>
          <w:lang w:eastAsia="es-CO"/>
        </w:rPr>
        <w:t>costos y gastos </w:t>
      </w:r>
      <w:r w:rsidRPr="009C75D0">
        <w:rPr>
          <w:rFonts w:eastAsia="Times New Roman" w:cs="Times New Roman"/>
          <w:szCs w:val="24"/>
          <w:lang w:eastAsia="es-CO"/>
        </w:rPr>
        <w:t>en el impuesto sobre la renta así como de impuestos descontables en el impuesto sobre las ventas, según lo establece el </w:t>
      </w:r>
      <w:hyperlink r:id="rId14" w:tooltip="Estatuto Tributario CETA" w:history="1">
        <w:r w:rsidRPr="009C75D0">
          <w:rPr>
            <w:rFonts w:eastAsia="Times New Roman" w:cs="Times New Roman"/>
            <w:szCs w:val="24"/>
            <w:lang w:eastAsia="es-CO"/>
          </w:rPr>
          <w:t>artículo 771-2</w:t>
        </w:r>
      </w:hyperlink>
      <w:r w:rsidRPr="009C75D0">
        <w:rPr>
          <w:rFonts w:eastAsia="Times New Roman" w:cs="Times New Roman"/>
          <w:szCs w:val="24"/>
          <w:lang w:eastAsia="es-CO"/>
        </w:rPr>
        <w:t> del Estatuto Tributario.</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lastRenderedPageBreak/>
        <w:t>Cabe anotar que la doctrina de la DIAN ha reiterado que en materia tributaria las cuentas de cobro no se consideran factura ni documento equivalente, son ejemplo de ello el Concepto 010699 de 1999 y el Oficio No. 045414 del 17 de julio de 2012. También es pertinente recordar, cómo el artículo 19 del Decreto Ley 2150 de 1995, modificado por el artículo 18 de la Ley 962 de 2005 suprimió las cuentas de cobro para el pago de las obligaciones contractuales contraídas por las entidades públicas y las privadas que cumplan funciones públicas o administren recursos públicos.</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 </w:t>
      </w:r>
    </w:p>
    <w:p w:rsidR="009C75D0" w:rsidRP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Atentamente.</w:t>
      </w:r>
    </w:p>
    <w:p w:rsidR="009C75D0" w:rsidRPr="009C75D0" w:rsidRDefault="009C75D0" w:rsidP="009C75D0">
      <w:pPr>
        <w:spacing w:line="240" w:lineRule="auto"/>
        <w:rPr>
          <w:rFonts w:eastAsia="Times New Roman" w:cs="Times New Roman"/>
          <w:szCs w:val="24"/>
          <w:lang w:eastAsia="es-CO"/>
        </w:rPr>
      </w:pPr>
      <w:bookmarkStart w:id="0" w:name="_GoBack"/>
      <w:bookmarkEnd w:id="0"/>
      <w:r w:rsidRPr="009C75D0">
        <w:rPr>
          <w:rFonts w:eastAsia="Times New Roman" w:cs="Times New Roman"/>
          <w:b/>
          <w:bCs/>
          <w:szCs w:val="24"/>
          <w:lang w:eastAsia="es-CO"/>
        </w:rPr>
        <w:t>PEDRO PABLO CONTRERAS CAMARGO</w:t>
      </w:r>
    </w:p>
    <w:p w:rsidR="009C75D0" w:rsidRDefault="009C75D0" w:rsidP="009C75D0">
      <w:pPr>
        <w:spacing w:line="240" w:lineRule="auto"/>
        <w:rPr>
          <w:rFonts w:eastAsia="Times New Roman" w:cs="Times New Roman"/>
          <w:szCs w:val="24"/>
          <w:lang w:eastAsia="es-CO"/>
        </w:rPr>
      </w:pPr>
      <w:r w:rsidRPr="009C75D0">
        <w:rPr>
          <w:rFonts w:eastAsia="Times New Roman" w:cs="Times New Roman"/>
          <w:szCs w:val="24"/>
          <w:lang w:eastAsia="es-CO"/>
        </w:rPr>
        <w:t>Subdirector ce Gestión Normativa y Doctrina</w:t>
      </w:r>
    </w:p>
    <w:p w:rsidR="0006144B" w:rsidRPr="009C75D0" w:rsidRDefault="0006144B" w:rsidP="009C75D0">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w:t>
      </w:r>
    </w:p>
    <w:p w:rsidR="009C75D0" w:rsidRPr="009C75D0" w:rsidRDefault="009C75D0" w:rsidP="009C75D0">
      <w:pPr>
        <w:spacing w:after="285" w:line="240" w:lineRule="auto"/>
        <w:rPr>
          <w:rFonts w:eastAsia="Times New Roman" w:cs="Times New Roman"/>
          <w:szCs w:val="24"/>
          <w:lang w:eastAsia="es-CO"/>
        </w:rPr>
      </w:pPr>
      <w:r w:rsidRPr="009C75D0">
        <w:rPr>
          <w:rFonts w:eastAsia="Times New Roman" w:cs="Times New Roman"/>
          <w:szCs w:val="24"/>
          <w:lang w:eastAsia="es-CO"/>
        </w:rPr>
        <w:t> </w:t>
      </w:r>
    </w:p>
    <w:p w:rsidR="00961BFA" w:rsidRPr="009C75D0" w:rsidRDefault="00961BFA">
      <w:pPr>
        <w:rPr>
          <w:rFonts w:cs="Times New Roman"/>
          <w:szCs w:val="24"/>
        </w:rPr>
      </w:pPr>
    </w:p>
    <w:sectPr w:rsidR="00961BFA" w:rsidRPr="009C75D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D0"/>
    <w:rsid w:val="0006144B"/>
    <w:rsid w:val="0029351E"/>
    <w:rsid w:val="00961BFA"/>
    <w:rsid w:val="009C75D0"/>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7BA6D-DFAC-45B1-952E-00999485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7" TargetMode="External"/><Relationship Id="rId13" Type="http://schemas.openxmlformats.org/officeDocument/2006/relationships/hyperlink" Target="https://www.ceta.org.co/html/vista_de_un_articulo.asp?Norma=7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9" TargetMode="External"/><Relationship Id="rId12" Type="http://schemas.openxmlformats.org/officeDocument/2006/relationships/hyperlink" Target="https://www.ceta.org.co/html/vista_de_un_articulo.asp?Norma=76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759" TargetMode="External"/><Relationship Id="rId5" Type="http://schemas.openxmlformats.org/officeDocument/2006/relationships/hyperlink" Target="https://www.ceta.org.co/html/vista_de_un_articulo.asp?Norma=755"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761" TargetMode="External"/><Relationship Id="rId4" Type="http://schemas.openxmlformats.org/officeDocument/2006/relationships/hyperlink" Target="mailto:canotaje.bogotadc@gmail.com" TargetMode="External"/><Relationship Id="rId9" Type="http://schemas.openxmlformats.org/officeDocument/2006/relationships/hyperlink" Target="https://www.ceta.org.co/html/vista_de_un_articulo.asp?Norma=755" TargetMode="External"/><Relationship Id="rId14" Type="http://schemas.openxmlformats.org/officeDocument/2006/relationships/hyperlink" Target="https://www.ceta.org.co/html/vista_de_un_articulo.asp?Norma=9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1263</Words>
  <Characters>6949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2017-09-08T01:24:00Z</dcterms:created>
  <dcterms:modified xsi:type="dcterms:W3CDTF">2017-09-23T20:02:00Z</dcterms:modified>
</cp:coreProperties>
</file>