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219" w:rsidRPr="00853219" w:rsidRDefault="00853219" w:rsidP="00853219">
      <w:pPr>
        <w:spacing w:line="240" w:lineRule="auto"/>
        <w:jc w:val="center"/>
        <w:rPr>
          <w:rFonts w:eastAsia="Times New Roman" w:cs="Times New Roman"/>
          <w:sz w:val="18"/>
          <w:szCs w:val="18"/>
          <w:lang w:eastAsia="es-CO"/>
        </w:rPr>
      </w:pPr>
      <w:r w:rsidRPr="00853219">
        <w:rPr>
          <w:rFonts w:eastAsia="Times New Roman" w:cs="Times New Roman"/>
          <w:b/>
          <w:bCs/>
          <w:sz w:val="28"/>
          <w:szCs w:val="28"/>
          <w:lang w:eastAsia="es-CO"/>
        </w:rPr>
        <w:t>OFICIO Nº 901878</w:t>
      </w:r>
    </w:p>
    <w:p w:rsidR="00853219" w:rsidRPr="00853219" w:rsidRDefault="00853219" w:rsidP="00853219">
      <w:pPr>
        <w:spacing w:line="240" w:lineRule="auto"/>
        <w:jc w:val="center"/>
        <w:rPr>
          <w:rFonts w:eastAsia="Times New Roman" w:cs="Times New Roman"/>
          <w:sz w:val="18"/>
          <w:szCs w:val="18"/>
          <w:lang w:eastAsia="es-CO"/>
        </w:rPr>
      </w:pPr>
      <w:r w:rsidRPr="00853219">
        <w:rPr>
          <w:rFonts w:eastAsia="Times New Roman" w:cs="Times New Roman"/>
          <w:b/>
          <w:bCs/>
          <w:sz w:val="28"/>
          <w:szCs w:val="28"/>
          <w:lang w:eastAsia="es-CO"/>
        </w:rPr>
        <w:t>09-03-2017</w:t>
      </w:r>
    </w:p>
    <w:p w:rsidR="00853219" w:rsidRPr="00853219" w:rsidRDefault="00853219" w:rsidP="00853219">
      <w:pPr>
        <w:spacing w:line="240" w:lineRule="auto"/>
        <w:jc w:val="center"/>
        <w:rPr>
          <w:rFonts w:eastAsia="Times New Roman" w:cs="Times New Roman"/>
          <w:sz w:val="18"/>
          <w:szCs w:val="18"/>
          <w:lang w:eastAsia="es-CO"/>
        </w:rPr>
      </w:pPr>
      <w:r w:rsidRPr="00853219">
        <w:rPr>
          <w:rFonts w:eastAsia="Times New Roman" w:cs="Times New Roman"/>
          <w:b/>
          <w:bCs/>
          <w:sz w:val="28"/>
          <w:szCs w:val="28"/>
          <w:lang w:eastAsia="es-CO"/>
        </w:rPr>
        <w:t>DIAN</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b/>
          <w:bCs/>
          <w:sz w:val="22"/>
          <w:lang w:eastAsia="es-CO"/>
        </w:rPr>
        <w:t> </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b/>
          <w:bCs/>
          <w:sz w:val="22"/>
          <w:lang w:eastAsia="es-CO"/>
        </w:rPr>
        <w:t> </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Subdirección de Gestión Normativa y Doctrina</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Bogotá, D. C.</w:t>
      </w:r>
      <w:bookmarkStart w:id="0" w:name="_GoBack"/>
      <w:bookmarkEnd w:id="0"/>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100208221-000327</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 </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Señora</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b/>
          <w:bCs/>
          <w:sz w:val="22"/>
          <w:lang w:eastAsia="es-CO"/>
        </w:rPr>
        <w:t>DIANA MARÍA GÓMEZ OROZCO</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Calle 126 No. 70G-62</w:t>
      </w:r>
    </w:p>
    <w:p w:rsidR="00853219" w:rsidRPr="00853219" w:rsidRDefault="00853219" w:rsidP="00853219">
      <w:pPr>
        <w:spacing w:line="240" w:lineRule="auto"/>
        <w:rPr>
          <w:rFonts w:eastAsia="Times New Roman" w:cs="Times New Roman"/>
          <w:sz w:val="18"/>
          <w:szCs w:val="18"/>
          <w:lang w:eastAsia="es-CO"/>
        </w:rPr>
      </w:pPr>
      <w:hyperlink r:id="rId4" w:history="1">
        <w:proofErr w:type="spellStart"/>
        <w:r w:rsidRPr="00853219">
          <w:rPr>
            <w:rFonts w:eastAsia="Times New Roman" w:cs="Times New Roman"/>
            <w:sz w:val="22"/>
            <w:lang w:eastAsia="es-CO"/>
          </w:rPr>
          <w:t>gerencia@its-medical.com</w:t>
        </w:r>
        <w:proofErr w:type="spellEnd"/>
      </w:hyperlink>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Bogotá, D. C.</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 </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b/>
          <w:bCs/>
          <w:sz w:val="22"/>
          <w:lang w:eastAsia="es-CO"/>
        </w:rPr>
        <w:t>Ref.:</w:t>
      </w:r>
      <w:r w:rsidRPr="00853219">
        <w:rPr>
          <w:rFonts w:eastAsia="Times New Roman" w:cs="Times New Roman"/>
          <w:sz w:val="22"/>
          <w:lang w:eastAsia="es-CO"/>
        </w:rPr>
        <w:t> Radicado 100005155 del 07/02/2017</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 </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b/>
          <w:bCs/>
          <w:sz w:val="22"/>
          <w:lang w:eastAsia="es-CO"/>
        </w:rPr>
        <w:t>Tema</w:t>
      </w:r>
      <w:r w:rsidRPr="00853219">
        <w:rPr>
          <w:rFonts w:eastAsia="Times New Roman" w:cs="Times New Roman"/>
          <w:sz w:val="22"/>
          <w:lang w:eastAsia="es-CO"/>
        </w:rPr>
        <w:t> Retención en la fuente</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b/>
          <w:bCs/>
          <w:sz w:val="22"/>
          <w:lang w:eastAsia="es-CO"/>
        </w:rPr>
        <w:t>Descriptores</w:t>
      </w:r>
      <w:r w:rsidRPr="00853219">
        <w:rPr>
          <w:rFonts w:eastAsia="Times New Roman" w:cs="Times New Roman"/>
          <w:sz w:val="22"/>
          <w:lang w:eastAsia="es-CO"/>
        </w:rPr>
        <w:t> </w:t>
      </w:r>
      <w:proofErr w:type="spellStart"/>
      <w:r w:rsidRPr="00853219">
        <w:rPr>
          <w:rFonts w:eastAsia="Times New Roman" w:cs="Times New Roman"/>
          <w:sz w:val="22"/>
          <w:lang w:eastAsia="es-CO"/>
        </w:rPr>
        <w:t>Autorretenedores</w:t>
      </w:r>
      <w:proofErr w:type="spellEnd"/>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b/>
          <w:bCs/>
          <w:sz w:val="22"/>
          <w:lang w:eastAsia="es-CO"/>
        </w:rPr>
        <w:t>Fuentes formales</w:t>
      </w:r>
      <w:r w:rsidRPr="00853219">
        <w:rPr>
          <w:rFonts w:eastAsia="Times New Roman" w:cs="Times New Roman"/>
          <w:sz w:val="22"/>
          <w:lang w:eastAsia="es-CO"/>
        </w:rPr>
        <w:t> </w:t>
      </w:r>
      <w:hyperlink r:id="rId5" w:tooltip="Estatuto Tributario CETA" w:history="1">
        <w:r w:rsidRPr="00853219">
          <w:rPr>
            <w:rFonts w:eastAsia="Times New Roman" w:cs="Times New Roman"/>
            <w:sz w:val="22"/>
            <w:lang w:eastAsia="es-CO"/>
          </w:rPr>
          <w:t>Artículo 365</w:t>
        </w:r>
      </w:hyperlink>
      <w:r w:rsidRPr="00853219">
        <w:rPr>
          <w:rFonts w:eastAsia="Times New Roman" w:cs="Times New Roman"/>
          <w:sz w:val="22"/>
          <w:lang w:eastAsia="es-CO"/>
        </w:rPr>
        <w:t> del Estatuto Tributario. Artículos 26, 125 de la Ley 1819 de 2016. Artículos 1.2.6.7 y 1.2.6.8 del Decreto número 1625 de 2016. Decreto número 2201 de 2016.</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 </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 </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De conformidad con el artículo 20 del Decreto número 4048 de 2008, es función de esta Subdirección absolver las consultas escritas que se formulen sobre la interpretación y aplicación de las normas tributarias de carácter nacional, aduaneras y cambiarias en lo de competencia de la entidad.</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 </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 xml:space="preserve">Mediante el radicado de la referencia solicita se precise cuál es la base para liquidar la </w:t>
      </w:r>
      <w:proofErr w:type="spellStart"/>
      <w:r w:rsidRPr="00853219">
        <w:rPr>
          <w:rFonts w:eastAsia="Times New Roman" w:cs="Times New Roman"/>
          <w:sz w:val="22"/>
          <w:lang w:eastAsia="es-CO"/>
        </w:rPr>
        <w:t>autorretención</w:t>
      </w:r>
      <w:proofErr w:type="spellEnd"/>
      <w:r w:rsidRPr="00853219">
        <w:rPr>
          <w:rFonts w:eastAsia="Times New Roman" w:cs="Times New Roman"/>
          <w:sz w:val="22"/>
          <w:lang w:eastAsia="es-CO"/>
        </w:rPr>
        <w:t xml:space="preserve"> a que se refiere el Decreto número 2201 de 2016, en el caso de las empresas comercializadoras con actividad económica 4659.</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 </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Sobre el particular se considera:</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 </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 xml:space="preserve">Mediante el Decreto número 2201 de 2016 se adiciona el Título 6, Parte 11, del Libro 1 al Decreto número 1625 de 2016, Decreto Único Reglamentario en Materia Tributaria, mediante el cual se establece una </w:t>
      </w:r>
      <w:proofErr w:type="spellStart"/>
      <w:r w:rsidRPr="00853219">
        <w:rPr>
          <w:rFonts w:eastAsia="Times New Roman" w:cs="Times New Roman"/>
          <w:sz w:val="22"/>
          <w:lang w:eastAsia="es-CO"/>
        </w:rPr>
        <w:t>autorretención</w:t>
      </w:r>
      <w:proofErr w:type="spellEnd"/>
      <w:r w:rsidRPr="00853219">
        <w:rPr>
          <w:rFonts w:eastAsia="Times New Roman" w:cs="Times New Roman"/>
          <w:sz w:val="22"/>
          <w:lang w:eastAsia="es-CO"/>
        </w:rPr>
        <w:t xml:space="preserve"> a título del impuesto sobre la renta y complementarios a que se refiere el parágrafo segundo del </w:t>
      </w:r>
      <w:hyperlink r:id="rId6" w:tooltip="Estatuto Tributario CETA" w:history="1">
        <w:r w:rsidRPr="00853219">
          <w:rPr>
            <w:rFonts w:eastAsia="Times New Roman" w:cs="Times New Roman"/>
            <w:sz w:val="22"/>
            <w:lang w:eastAsia="es-CO"/>
          </w:rPr>
          <w:t>artículo 365</w:t>
        </w:r>
      </w:hyperlink>
      <w:r w:rsidRPr="00853219">
        <w:rPr>
          <w:rFonts w:eastAsia="Times New Roman" w:cs="Times New Roman"/>
          <w:sz w:val="22"/>
          <w:lang w:eastAsia="es-CO"/>
        </w:rPr>
        <w:t> del Estatuto Tributario adicionado por el artículo 125 de la Ley 1819 de 2016, a cargo de sociedades, personas jurídicas y asimiladas contribuyentes declarantes del impuesto sobre la renta y complementarios y las sociedades y entidades extranjeras contribuyentes declarantes del impuesto sobre la renta, por sus ingresos de fuente nacional, obtenidos mediante sucursales y establecimientos permanentes.</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 </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 xml:space="preserve">En ese sentido, el artículo 1.2.6.7 adicionado indica que las bases para calcular esta </w:t>
      </w:r>
      <w:proofErr w:type="spellStart"/>
      <w:r w:rsidRPr="00853219">
        <w:rPr>
          <w:rFonts w:eastAsia="Times New Roman" w:cs="Times New Roman"/>
          <w:sz w:val="22"/>
          <w:lang w:eastAsia="es-CO"/>
        </w:rPr>
        <w:t>autorretención</w:t>
      </w:r>
      <w:proofErr w:type="spellEnd"/>
      <w:r w:rsidRPr="00853219">
        <w:rPr>
          <w:rFonts w:eastAsia="Times New Roman" w:cs="Times New Roman"/>
          <w:sz w:val="22"/>
          <w:lang w:eastAsia="es-CO"/>
        </w:rPr>
        <w:t xml:space="preserve"> son:</w:t>
      </w:r>
    </w:p>
    <w:p w:rsidR="00853219" w:rsidRPr="00853219" w:rsidRDefault="00853219" w:rsidP="00853219">
      <w:pPr>
        <w:spacing w:line="240" w:lineRule="auto"/>
        <w:ind w:left="284"/>
        <w:rPr>
          <w:rFonts w:eastAsia="Times New Roman" w:cs="Times New Roman"/>
          <w:sz w:val="18"/>
          <w:szCs w:val="18"/>
          <w:lang w:eastAsia="es-CO"/>
        </w:rPr>
      </w:pPr>
      <w:r w:rsidRPr="00853219">
        <w:rPr>
          <w:rFonts w:eastAsia="Times New Roman" w:cs="Times New Roman"/>
          <w:b/>
          <w:bCs/>
          <w:i/>
          <w:iCs/>
          <w:sz w:val="22"/>
          <w:lang w:eastAsia="es-CO"/>
        </w:rPr>
        <w:t> </w:t>
      </w:r>
    </w:p>
    <w:p w:rsidR="00853219" w:rsidRPr="00853219" w:rsidRDefault="00853219" w:rsidP="00853219">
      <w:pPr>
        <w:spacing w:line="240" w:lineRule="auto"/>
        <w:ind w:left="284"/>
        <w:rPr>
          <w:rFonts w:eastAsia="Times New Roman" w:cs="Times New Roman"/>
          <w:sz w:val="18"/>
          <w:szCs w:val="18"/>
          <w:lang w:eastAsia="es-CO"/>
        </w:rPr>
      </w:pPr>
      <w:r w:rsidRPr="00853219">
        <w:rPr>
          <w:rFonts w:eastAsia="Times New Roman" w:cs="Times New Roman"/>
          <w:b/>
          <w:bCs/>
          <w:i/>
          <w:iCs/>
          <w:sz w:val="22"/>
          <w:lang w:eastAsia="es-CO"/>
        </w:rPr>
        <w:t xml:space="preserve">“Artículo 1.2.6.7. Bases para calcular la </w:t>
      </w:r>
      <w:proofErr w:type="spellStart"/>
      <w:r w:rsidRPr="00853219">
        <w:rPr>
          <w:rFonts w:eastAsia="Times New Roman" w:cs="Times New Roman"/>
          <w:b/>
          <w:bCs/>
          <w:i/>
          <w:iCs/>
          <w:sz w:val="22"/>
          <w:lang w:eastAsia="es-CO"/>
        </w:rPr>
        <w:t>autorretención</w:t>
      </w:r>
      <w:proofErr w:type="spellEnd"/>
      <w:r w:rsidRPr="00853219">
        <w:rPr>
          <w:rFonts w:eastAsia="Times New Roman" w:cs="Times New Roman"/>
          <w:b/>
          <w:bCs/>
          <w:i/>
          <w:iCs/>
          <w:sz w:val="22"/>
          <w:lang w:eastAsia="es-CO"/>
        </w:rPr>
        <w:t xml:space="preserve"> a título de impuesto sobre la renta y complementarios de que trata el artículo 1.2.6.6. </w:t>
      </w:r>
      <w:r w:rsidRPr="00853219">
        <w:rPr>
          <w:rFonts w:eastAsia="Times New Roman" w:cs="Times New Roman"/>
          <w:i/>
          <w:iCs/>
          <w:sz w:val="22"/>
          <w:lang w:eastAsia="es-CO"/>
        </w:rPr>
        <w:t>Las </w:t>
      </w:r>
      <w:r w:rsidRPr="00853219">
        <w:rPr>
          <w:rFonts w:eastAsia="Times New Roman" w:cs="Times New Roman"/>
          <w:i/>
          <w:iCs/>
          <w:sz w:val="22"/>
          <w:u w:val="single"/>
          <w:lang w:eastAsia="es-CO"/>
        </w:rPr>
        <w:t xml:space="preserve">bases establecidas en las normas vigentes para calcular la retención del impuesto sobre la renta y complementarios serán aplicables igualmente para practicar la </w:t>
      </w:r>
      <w:proofErr w:type="spellStart"/>
      <w:r w:rsidRPr="00853219">
        <w:rPr>
          <w:rFonts w:eastAsia="Times New Roman" w:cs="Times New Roman"/>
          <w:i/>
          <w:iCs/>
          <w:sz w:val="22"/>
          <w:u w:val="single"/>
          <w:lang w:eastAsia="es-CO"/>
        </w:rPr>
        <w:t>autorretención</w:t>
      </w:r>
      <w:proofErr w:type="spellEnd"/>
      <w:r w:rsidRPr="00853219">
        <w:rPr>
          <w:rFonts w:eastAsia="Times New Roman" w:cs="Times New Roman"/>
          <w:i/>
          <w:iCs/>
          <w:sz w:val="22"/>
          <w:lang w:eastAsia="es-CO"/>
        </w:rPr>
        <w:t> a título de este impuesto de que trata el artículo anterior.</w:t>
      </w:r>
    </w:p>
    <w:p w:rsidR="00853219" w:rsidRPr="00853219" w:rsidRDefault="00853219" w:rsidP="00853219">
      <w:pPr>
        <w:spacing w:line="240" w:lineRule="auto"/>
        <w:ind w:left="284"/>
        <w:rPr>
          <w:rFonts w:eastAsia="Times New Roman" w:cs="Times New Roman"/>
          <w:sz w:val="18"/>
          <w:szCs w:val="18"/>
          <w:lang w:eastAsia="es-CO"/>
        </w:rPr>
      </w:pPr>
      <w:r w:rsidRPr="00853219">
        <w:rPr>
          <w:rFonts w:eastAsia="Times New Roman" w:cs="Times New Roman"/>
          <w:i/>
          <w:iCs/>
          <w:sz w:val="22"/>
          <w:lang w:eastAsia="es-CO"/>
        </w:rPr>
        <w:t> </w:t>
      </w:r>
    </w:p>
    <w:p w:rsidR="00853219" w:rsidRPr="00853219" w:rsidRDefault="00853219" w:rsidP="00853219">
      <w:pPr>
        <w:spacing w:line="240" w:lineRule="auto"/>
        <w:ind w:left="284"/>
        <w:rPr>
          <w:rFonts w:eastAsia="Times New Roman" w:cs="Times New Roman"/>
          <w:sz w:val="18"/>
          <w:szCs w:val="18"/>
          <w:lang w:eastAsia="es-CO"/>
        </w:rPr>
      </w:pPr>
      <w:r w:rsidRPr="00853219">
        <w:rPr>
          <w:rFonts w:eastAsia="Times New Roman" w:cs="Times New Roman"/>
          <w:i/>
          <w:iCs/>
          <w:sz w:val="22"/>
          <w:lang w:eastAsia="es-CO"/>
        </w:rPr>
        <w:t xml:space="preserve">No obstante lo anterior, en los siguientes casos, la base de esta </w:t>
      </w:r>
      <w:proofErr w:type="spellStart"/>
      <w:r w:rsidRPr="00853219">
        <w:rPr>
          <w:rFonts w:eastAsia="Times New Roman" w:cs="Times New Roman"/>
          <w:i/>
          <w:iCs/>
          <w:sz w:val="22"/>
          <w:lang w:eastAsia="es-CO"/>
        </w:rPr>
        <w:t>autorretención</w:t>
      </w:r>
      <w:proofErr w:type="spellEnd"/>
      <w:r w:rsidRPr="00853219">
        <w:rPr>
          <w:rFonts w:eastAsia="Times New Roman" w:cs="Times New Roman"/>
          <w:i/>
          <w:iCs/>
          <w:sz w:val="22"/>
          <w:lang w:eastAsia="es-CO"/>
        </w:rPr>
        <w:t xml:space="preserve"> se efectuará de conformidad con las siguientes reglas:</w:t>
      </w:r>
    </w:p>
    <w:p w:rsidR="00853219" w:rsidRPr="00853219" w:rsidRDefault="00853219" w:rsidP="00853219">
      <w:pPr>
        <w:spacing w:line="240" w:lineRule="auto"/>
        <w:ind w:left="284"/>
        <w:rPr>
          <w:rFonts w:eastAsia="Times New Roman" w:cs="Times New Roman"/>
          <w:sz w:val="18"/>
          <w:szCs w:val="18"/>
          <w:lang w:eastAsia="es-CO"/>
        </w:rPr>
      </w:pPr>
      <w:r w:rsidRPr="00853219">
        <w:rPr>
          <w:rFonts w:eastAsia="Times New Roman" w:cs="Times New Roman"/>
          <w:i/>
          <w:iCs/>
          <w:sz w:val="18"/>
          <w:szCs w:val="18"/>
          <w:lang w:eastAsia="es-CO"/>
        </w:rPr>
        <w:t>(…)”.</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i/>
          <w:iCs/>
          <w:sz w:val="18"/>
          <w:szCs w:val="18"/>
          <w:lang w:eastAsia="es-CO"/>
        </w:rPr>
        <w:t> </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 xml:space="preserve">Es importante señalar que cuando la norma anteriormente citada indica que las bases para calcular la </w:t>
      </w:r>
      <w:proofErr w:type="spellStart"/>
      <w:r w:rsidRPr="00853219">
        <w:rPr>
          <w:rFonts w:eastAsia="Times New Roman" w:cs="Times New Roman"/>
          <w:sz w:val="22"/>
          <w:lang w:eastAsia="es-CO"/>
        </w:rPr>
        <w:t>autorretención</w:t>
      </w:r>
      <w:proofErr w:type="spellEnd"/>
      <w:r w:rsidRPr="00853219">
        <w:rPr>
          <w:rFonts w:eastAsia="Times New Roman" w:cs="Times New Roman"/>
          <w:sz w:val="22"/>
          <w:lang w:eastAsia="es-CO"/>
        </w:rPr>
        <w:t xml:space="preserve"> tomarán en cuenta las existentes en renta, lo que se reconoce es la posibilidad de que esta se efectúe sobre el ingreso gravable para el sujeto pasivo, permitiendo la depuración de la base.</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 </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lastRenderedPageBreak/>
        <w:t xml:space="preserve">Por su parte la tarifa aplicable se da en función de la actividad económica principal del responsable de esta </w:t>
      </w:r>
      <w:proofErr w:type="spellStart"/>
      <w:r w:rsidRPr="00853219">
        <w:rPr>
          <w:rFonts w:eastAsia="Times New Roman" w:cs="Times New Roman"/>
          <w:sz w:val="22"/>
          <w:lang w:eastAsia="es-CO"/>
        </w:rPr>
        <w:t>autorretención</w:t>
      </w:r>
      <w:proofErr w:type="spellEnd"/>
      <w:r w:rsidRPr="00853219">
        <w:rPr>
          <w:rFonts w:eastAsia="Times New Roman" w:cs="Times New Roman"/>
          <w:sz w:val="22"/>
          <w:lang w:eastAsia="es-CO"/>
        </w:rPr>
        <w:t>, respecto de cada pago o abono en cuenta que se le ha realizado, veamos:</w:t>
      </w:r>
    </w:p>
    <w:p w:rsidR="00853219" w:rsidRPr="00853219" w:rsidRDefault="00853219" w:rsidP="00853219">
      <w:pPr>
        <w:spacing w:line="240" w:lineRule="auto"/>
        <w:ind w:left="284"/>
        <w:rPr>
          <w:rFonts w:eastAsia="Times New Roman" w:cs="Times New Roman"/>
          <w:sz w:val="18"/>
          <w:szCs w:val="18"/>
          <w:lang w:eastAsia="es-CO"/>
        </w:rPr>
      </w:pPr>
      <w:r w:rsidRPr="00853219">
        <w:rPr>
          <w:rFonts w:eastAsia="Times New Roman" w:cs="Times New Roman"/>
          <w:b/>
          <w:bCs/>
          <w:i/>
          <w:iCs/>
          <w:sz w:val="22"/>
          <w:lang w:eastAsia="es-CO"/>
        </w:rPr>
        <w:t> </w:t>
      </w:r>
    </w:p>
    <w:p w:rsidR="00853219" w:rsidRPr="00853219" w:rsidRDefault="00853219" w:rsidP="00853219">
      <w:pPr>
        <w:spacing w:line="240" w:lineRule="auto"/>
        <w:ind w:left="284"/>
        <w:rPr>
          <w:rFonts w:eastAsia="Times New Roman" w:cs="Times New Roman"/>
          <w:sz w:val="18"/>
          <w:szCs w:val="18"/>
          <w:lang w:eastAsia="es-CO"/>
        </w:rPr>
      </w:pPr>
      <w:r w:rsidRPr="00853219">
        <w:rPr>
          <w:rFonts w:eastAsia="Times New Roman" w:cs="Times New Roman"/>
          <w:b/>
          <w:bCs/>
          <w:i/>
          <w:iCs/>
          <w:sz w:val="22"/>
          <w:lang w:eastAsia="es-CO"/>
        </w:rPr>
        <w:t xml:space="preserve">Artículo 1.2.6.8. </w:t>
      </w:r>
      <w:proofErr w:type="spellStart"/>
      <w:r w:rsidRPr="00853219">
        <w:rPr>
          <w:rFonts w:eastAsia="Times New Roman" w:cs="Times New Roman"/>
          <w:b/>
          <w:bCs/>
          <w:i/>
          <w:iCs/>
          <w:sz w:val="22"/>
          <w:lang w:eastAsia="es-CO"/>
        </w:rPr>
        <w:t>Autorretenedores</w:t>
      </w:r>
      <w:proofErr w:type="spellEnd"/>
      <w:r w:rsidRPr="00853219">
        <w:rPr>
          <w:rFonts w:eastAsia="Times New Roman" w:cs="Times New Roman"/>
          <w:b/>
          <w:bCs/>
          <w:i/>
          <w:iCs/>
          <w:sz w:val="22"/>
          <w:lang w:eastAsia="es-CO"/>
        </w:rPr>
        <w:t xml:space="preserve"> y tarifas. </w:t>
      </w:r>
      <w:r w:rsidRPr="00853219">
        <w:rPr>
          <w:rFonts w:eastAsia="Times New Roman" w:cs="Times New Roman"/>
          <w:i/>
          <w:iCs/>
          <w:sz w:val="22"/>
          <w:lang w:eastAsia="es-CO"/>
        </w:rPr>
        <w:t xml:space="preserve">A partir del 1° de enero de 2017, para efectos del recaudo y administración de la </w:t>
      </w:r>
      <w:proofErr w:type="spellStart"/>
      <w:r w:rsidRPr="00853219">
        <w:rPr>
          <w:rFonts w:eastAsia="Times New Roman" w:cs="Times New Roman"/>
          <w:i/>
          <w:iCs/>
          <w:sz w:val="22"/>
          <w:lang w:eastAsia="es-CO"/>
        </w:rPr>
        <w:t>autorretención</w:t>
      </w:r>
      <w:proofErr w:type="spellEnd"/>
      <w:r w:rsidRPr="00853219">
        <w:rPr>
          <w:rFonts w:eastAsia="Times New Roman" w:cs="Times New Roman"/>
          <w:i/>
          <w:iCs/>
          <w:sz w:val="22"/>
          <w:lang w:eastAsia="es-CO"/>
        </w:rPr>
        <w:t xml:space="preserve"> a título de impuesto sobre la renta y complementario de que trata el artículo 1.2.6.6., todos los sujetos pasivos allí mencionados tendrán la calidad de </w:t>
      </w:r>
      <w:proofErr w:type="spellStart"/>
      <w:r w:rsidRPr="00853219">
        <w:rPr>
          <w:rFonts w:eastAsia="Times New Roman" w:cs="Times New Roman"/>
          <w:i/>
          <w:iCs/>
          <w:sz w:val="22"/>
          <w:lang w:eastAsia="es-CO"/>
        </w:rPr>
        <w:t>autorretenedores</w:t>
      </w:r>
      <w:proofErr w:type="spellEnd"/>
      <w:r w:rsidRPr="00853219">
        <w:rPr>
          <w:rFonts w:eastAsia="Times New Roman" w:cs="Times New Roman"/>
          <w:i/>
          <w:iCs/>
          <w:sz w:val="22"/>
          <w:lang w:eastAsia="es-CO"/>
        </w:rPr>
        <w:t>.</w:t>
      </w:r>
    </w:p>
    <w:p w:rsidR="00853219" w:rsidRPr="00853219" w:rsidRDefault="00853219" w:rsidP="00853219">
      <w:pPr>
        <w:spacing w:line="240" w:lineRule="auto"/>
        <w:ind w:left="284"/>
        <w:rPr>
          <w:rFonts w:eastAsia="Times New Roman" w:cs="Times New Roman"/>
          <w:sz w:val="18"/>
          <w:szCs w:val="18"/>
          <w:lang w:eastAsia="es-CO"/>
        </w:rPr>
      </w:pPr>
      <w:r w:rsidRPr="00853219">
        <w:rPr>
          <w:rFonts w:eastAsia="Times New Roman" w:cs="Times New Roman"/>
          <w:i/>
          <w:iCs/>
          <w:sz w:val="22"/>
          <w:lang w:eastAsia="es-CO"/>
        </w:rPr>
        <w:t> </w:t>
      </w:r>
    </w:p>
    <w:p w:rsidR="00853219" w:rsidRPr="00853219" w:rsidRDefault="00853219" w:rsidP="00853219">
      <w:pPr>
        <w:spacing w:line="240" w:lineRule="auto"/>
        <w:ind w:left="284"/>
        <w:rPr>
          <w:rFonts w:eastAsia="Times New Roman" w:cs="Times New Roman"/>
          <w:sz w:val="18"/>
          <w:szCs w:val="18"/>
          <w:lang w:eastAsia="es-CO"/>
        </w:rPr>
      </w:pPr>
      <w:r w:rsidRPr="00853219">
        <w:rPr>
          <w:rFonts w:eastAsia="Times New Roman" w:cs="Times New Roman"/>
          <w:i/>
          <w:iCs/>
          <w:sz w:val="22"/>
          <w:lang w:eastAsia="es-CO"/>
        </w:rPr>
        <w:t xml:space="preserve">Para tal efecto, </w:t>
      </w:r>
      <w:proofErr w:type="spellStart"/>
      <w:r w:rsidRPr="00853219">
        <w:rPr>
          <w:rFonts w:eastAsia="Times New Roman" w:cs="Times New Roman"/>
          <w:i/>
          <w:iCs/>
          <w:sz w:val="22"/>
          <w:lang w:eastAsia="es-CO"/>
        </w:rPr>
        <w:t>esta</w:t>
      </w:r>
      <w:proofErr w:type="spellEnd"/>
      <w:r w:rsidRPr="00853219">
        <w:rPr>
          <w:rFonts w:eastAsia="Times New Roman" w:cs="Times New Roman"/>
          <w:i/>
          <w:iCs/>
          <w:sz w:val="22"/>
          <w:lang w:eastAsia="es-CO"/>
        </w:rPr>
        <w:t xml:space="preserve"> </w:t>
      </w:r>
      <w:proofErr w:type="spellStart"/>
      <w:r w:rsidRPr="00853219">
        <w:rPr>
          <w:rFonts w:eastAsia="Times New Roman" w:cs="Times New Roman"/>
          <w:i/>
          <w:iCs/>
          <w:sz w:val="22"/>
          <w:lang w:eastAsia="es-CO"/>
        </w:rPr>
        <w:t>autorretención</w:t>
      </w:r>
      <w:proofErr w:type="spellEnd"/>
      <w:r w:rsidRPr="00853219">
        <w:rPr>
          <w:rFonts w:eastAsia="Times New Roman" w:cs="Times New Roman"/>
          <w:i/>
          <w:iCs/>
          <w:sz w:val="22"/>
          <w:lang w:eastAsia="es-CO"/>
        </w:rPr>
        <w:t xml:space="preserve"> a título de impuesto sobre la renta y complementario </w:t>
      </w:r>
      <w:r w:rsidRPr="00853219">
        <w:rPr>
          <w:rFonts w:eastAsia="Times New Roman" w:cs="Times New Roman"/>
          <w:i/>
          <w:iCs/>
          <w:sz w:val="22"/>
          <w:u w:val="single"/>
          <w:lang w:eastAsia="es-CO"/>
        </w:rPr>
        <w:t>se liquidará sobre cada pago o abono en cuenta realizado al contribuyente sujeto pasivo de este tributo, de acuerdo con las siguientes actividades económicas y a las siguientes tarifas</w:t>
      </w:r>
      <w:r w:rsidRPr="00853219">
        <w:rPr>
          <w:rFonts w:eastAsia="Times New Roman" w:cs="Times New Roman"/>
          <w:i/>
          <w:iCs/>
          <w:sz w:val="22"/>
          <w:lang w:eastAsia="es-CO"/>
        </w:rPr>
        <w:t>:</w:t>
      </w:r>
    </w:p>
    <w:p w:rsidR="00853219" w:rsidRPr="00853219" w:rsidRDefault="00853219" w:rsidP="00853219">
      <w:pPr>
        <w:spacing w:line="240" w:lineRule="auto"/>
        <w:ind w:left="284"/>
        <w:rPr>
          <w:rFonts w:eastAsia="Times New Roman" w:cs="Times New Roman"/>
          <w:sz w:val="18"/>
          <w:szCs w:val="18"/>
          <w:lang w:eastAsia="es-CO"/>
        </w:rPr>
      </w:pPr>
      <w:r w:rsidRPr="00853219">
        <w:rPr>
          <w:rFonts w:eastAsia="Times New Roman" w:cs="Times New Roman"/>
          <w:i/>
          <w:iCs/>
          <w:sz w:val="22"/>
          <w:lang w:eastAsia="es-CO"/>
        </w:rPr>
        <w:t>(…).</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 </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 xml:space="preserve">Este Despacho al interpretar esta norma entiende que esta proporciona un elemento adicional a la hora de aplicar la </w:t>
      </w:r>
      <w:proofErr w:type="spellStart"/>
      <w:r w:rsidRPr="00853219">
        <w:rPr>
          <w:rFonts w:eastAsia="Times New Roman" w:cs="Times New Roman"/>
          <w:sz w:val="22"/>
          <w:lang w:eastAsia="es-CO"/>
        </w:rPr>
        <w:t>autorretención</w:t>
      </w:r>
      <w:proofErr w:type="spellEnd"/>
      <w:r w:rsidRPr="00853219">
        <w:rPr>
          <w:rFonts w:eastAsia="Times New Roman" w:cs="Times New Roman"/>
          <w:sz w:val="22"/>
          <w:lang w:eastAsia="es-CO"/>
        </w:rPr>
        <w:t xml:space="preserve"> además de la base y es la tarifa, que para el caso de la actividad económica 4659 </w:t>
      </w:r>
      <w:r w:rsidRPr="00853219">
        <w:rPr>
          <w:rFonts w:eastAsia="Times New Roman" w:cs="Times New Roman"/>
          <w:i/>
          <w:iCs/>
          <w:sz w:val="22"/>
          <w:lang w:eastAsia="es-CO"/>
        </w:rPr>
        <w:t xml:space="preserve">“comercio al por mayor de otros tipos de maquinaria y equipo </w:t>
      </w:r>
      <w:proofErr w:type="spellStart"/>
      <w:r w:rsidRPr="00853219">
        <w:rPr>
          <w:rFonts w:eastAsia="Times New Roman" w:cs="Times New Roman"/>
          <w:i/>
          <w:iCs/>
          <w:sz w:val="22"/>
          <w:lang w:eastAsia="es-CO"/>
        </w:rPr>
        <w:t>n.c.p</w:t>
      </w:r>
      <w:proofErr w:type="spellEnd"/>
      <w:r w:rsidRPr="00853219">
        <w:rPr>
          <w:rFonts w:eastAsia="Times New Roman" w:cs="Times New Roman"/>
          <w:i/>
          <w:iCs/>
          <w:sz w:val="22"/>
          <w:lang w:eastAsia="es-CO"/>
        </w:rPr>
        <w:t>.” </w:t>
      </w:r>
      <w:r w:rsidRPr="00853219">
        <w:rPr>
          <w:rFonts w:eastAsia="Times New Roman" w:cs="Times New Roman"/>
          <w:sz w:val="22"/>
          <w:lang w:eastAsia="es-CO"/>
        </w:rPr>
        <w:t>es del 0.40%.</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 </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En los anteriores términos se resuelve su consulta.</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 </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 </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Atentamente,</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 </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sz w:val="22"/>
          <w:lang w:eastAsia="es-CO"/>
        </w:rPr>
        <w:t> </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b/>
          <w:bCs/>
          <w:sz w:val="22"/>
          <w:lang w:eastAsia="es-CO"/>
        </w:rPr>
        <w:t>El Subdirector de Gestión Normativa y Doctrina,</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b/>
          <w:bCs/>
          <w:i/>
          <w:iCs/>
          <w:sz w:val="18"/>
          <w:szCs w:val="18"/>
          <w:lang w:eastAsia="es-CO"/>
        </w:rPr>
        <w:t> </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i/>
          <w:iCs/>
          <w:sz w:val="18"/>
          <w:szCs w:val="18"/>
          <w:lang w:eastAsia="es-CO"/>
        </w:rPr>
        <w:t>Pedro Pablo Contreras Camargo.</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i/>
          <w:iCs/>
          <w:sz w:val="18"/>
          <w:szCs w:val="18"/>
          <w:lang w:eastAsia="es-CO"/>
        </w:rPr>
        <w:t> </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i/>
          <w:iCs/>
          <w:sz w:val="18"/>
          <w:szCs w:val="18"/>
          <w:lang w:eastAsia="es-CO"/>
        </w:rPr>
        <w:t> </w:t>
      </w:r>
    </w:p>
    <w:p w:rsidR="00853219" w:rsidRPr="00853219" w:rsidRDefault="00853219" w:rsidP="00853219">
      <w:pPr>
        <w:spacing w:line="240" w:lineRule="auto"/>
        <w:rPr>
          <w:rFonts w:eastAsia="Times New Roman" w:cs="Times New Roman"/>
          <w:sz w:val="18"/>
          <w:szCs w:val="18"/>
          <w:lang w:eastAsia="es-CO"/>
        </w:rPr>
      </w:pPr>
      <w:r w:rsidRPr="00853219">
        <w:rPr>
          <w:rFonts w:eastAsia="Times New Roman" w:cs="Times New Roman"/>
          <w:b/>
          <w:bCs/>
          <w:sz w:val="20"/>
          <w:szCs w:val="20"/>
          <w:lang w:eastAsia="es-CO"/>
        </w:rPr>
        <w:t>Publicado en D.O. 50.227 del 8 de mayo de 2017.</w:t>
      </w:r>
    </w:p>
    <w:p w:rsidR="00853219" w:rsidRPr="00853219" w:rsidRDefault="00853219" w:rsidP="00853219">
      <w:pPr>
        <w:spacing w:after="285" w:line="240" w:lineRule="auto"/>
        <w:rPr>
          <w:rFonts w:eastAsia="Times New Roman" w:cs="Times New Roman"/>
          <w:sz w:val="18"/>
          <w:szCs w:val="18"/>
          <w:lang w:eastAsia="es-CO"/>
        </w:rPr>
      </w:pPr>
      <w:r w:rsidRPr="00853219">
        <w:rPr>
          <w:rFonts w:eastAsia="Times New Roman" w:cs="Times New Roman"/>
          <w:sz w:val="18"/>
          <w:szCs w:val="18"/>
          <w:lang w:eastAsia="es-CO"/>
        </w:rPr>
        <w:t> </w:t>
      </w:r>
    </w:p>
    <w:p w:rsidR="00961BFA" w:rsidRPr="00853219" w:rsidRDefault="00961BFA">
      <w:pPr>
        <w:rPr>
          <w:rFonts w:cs="Times New Roman"/>
        </w:rPr>
      </w:pPr>
    </w:p>
    <w:sectPr w:rsidR="00961BFA" w:rsidRPr="00853219"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19"/>
    <w:rsid w:val="0029351E"/>
    <w:rsid w:val="00853219"/>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3824A-600D-4885-8C9E-DBE6268D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70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54" TargetMode="External"/><Relationship Id="rId5" Type="http://schemas.openxmlformats.org/officeDocument/2006/relationships/hyperlink" Target="https://www.ceta.org.co/html/vista_de_un_articulo.asp?Norma=454" TargetMode="External"/><Relationship Id="rId4" Type="http://schemas.openxmlformats.org/officeDocument/2006/relationships/hyperlink" Target="mailto:gerencia@its-medica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3654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2017-05-25T00:06:00Z</dcterms:created>
  <dcterms:modified xsi:type="dcterms:W3CDTF">2017-05-25T00:08:00Z</dcterms:modified>
</cp:coreProperties>
</file>