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2FC" w:rsidRPr="006B32FC" w:rsidRDefault="006B32FC" w:rsidP="006B32FC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b/>
          <w:bCs/>
          <w:szCs w:val="24"/>
          <w:lang w:eastAsia="es-CO"/>
        </w:rPr>
        <w:t>OFICIO Nº 028724</w:t>
      </w:r>
    </w:p>
    <w:p w:rsidR="006B32FC" w:rsidRPr="006B32FC" w:rsidRDefault="006B32FC" w:rsidP="006B32FC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b/>
          <w:bCs/>
          <w:szCs w:val="24"/>
          <w:lang w:eastAsia="es-CO"/>
        </w:rPr>
        <w:t>23-10-2017</w:t>
      </w:r>
    </w:p>
    <w:p w:rsidR="006B32FC" w:rsidRPr="006B32FC" w:rsidRDefault="006B32FC" w:rsidP="006B32FC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b/>
          <w:bCs/>
          <w:szCs w:val="24"/>
          <w:lang w:eastAsia="es-CO"/>
        </w:rPr>
        <w:t>DIAN</w:t>
      </w:r>
    </w:p>
    <w:p w:rsidR="006B32FC" w:rsidRPr="006B32FC" w:rsidRDefault="006B32FC" w:rsidP="006B32FC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b/>
          <w:bCs/>
          <w:szCs w:val="24"/>
          <w:lang w:eastAsia="es-CO"/>
        </w:rPr>
        <w:t> </w:t>
      </w:r>
    </w:p>
    <w:p w:rsidR="006B32FC" w:rsidRPr="006B32FC" w:rsidRDefault="006B32FC" w:rsidP="006B32FC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b/>
          <w:bCs/>
          <w:szCs w:val="24"/>
          <w:lang w:eastAsia="es-CO"/>
        </w:rPr>
        <w:t> </w:t>
      </w:r>
    </w:p>
    <w:p w:rsidR="006B32FC" w:rsidRPr="006B32FC" w:rsidRDefault="006B32FC" w:rsidP="006B32FC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szCs w:val="24"/>
          <w:lang w:eastAsia="es-CO"/>
        </w:rPr>
        <w:t>Subdirección de Gestión Normativa y Doctrina</w:t>
      </w:r>
    </w:p>
    <w:p w:rsidR="006B32FC" w:rsidRPr="006B32FC" w:rsidRDefault="006B32FC" w:rsidP="006B32FC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szCs w:val="24"/>
          <w:lang w:eastAsia="es-CO"/>
        </w:rPr>
        <w:t>Bogotá, D.C.</w:t>
      </w:r>
    </w:p>
    <w:p w:rsidR="006B32FC" w:rsidRPr="006B32FC" w:rsidRDefault="006B32FC" w:rsidP="006B32FC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szCs w:val="24"/>
          <w:lang w:eastAsia="es-CO"/>
        </w:rPr>
        <w:t>100208221 001666</w:t>
      </w:r>
      <w:bookmarkStart w:id="0" w:name="_GoBack"/>
      <w:bookmarkEnd w:id="0"/>
    </w:p>
    <w:p w:rsidR="006B32FC" w:rsidRPr="006B32FC" w:rsidRDefault="006B32FC" w:rsidP="006B32FC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szCs w:val="24"/>
          <w:lang w:eastAsia="es-CO"/>
        </w:rPr>
        <w:t> </w:t>
      </w:r>
    </w:p>
    <w:p w:rsidR="006B32FC" w:rsidRPr="006B32FC" w:rsidRDefault="006B32FC" w:rsidP="006B32FC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szCs w:val="24"/>
          <w:lang w:eastAsia="es-CO"/>
        </w:rPr>
        <w:t>Señora:</w:t>
      </w:r>
    </w:p>
    <w:p w:rsidR="006B32FC" w:rsidRPr="006B32FC" w:rsidRDefault="006B32FC" w:rsidP="006B32FC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b/>
          <w:bCs/>
          <w:szCs w:val="24"/>
          <w:lang w:eastAsia="es-CO"/>
        </w:rPr>
        <w:t>PAOLA ANDREA DÍAZ ARENAS</w:t>
      </w:r>
    </w:p>
    <w:p w:rsidR="006B32FC" w:rsidRPr="006B32FC" w:rsidRDefault="006B32FC" w:rsidP="006B32FC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szCs w:val="24"/>
          <w:lang w:eastAsia="es-CO"/>
        </w:rPr>
        <w:t>Manzana 8 casa 2 Santa Juana de las Villas</w:t>
      </w:r>
    </w:p>
    <w:p w:rsidR="006B32FC" w:rsidRPr="006B32FC" w:rsidRDefault="006B32FC" w:rsidP="006B32FC">
      <w:pPr>
        <w:spacing w:line="240" w:lineRule="auto"/>
        <w:rPr>
          <w:rFonts w:eastAsia="Times New Roman" w:cs="Times New Roman"/>
          <w:szCs w:val="24"/>
          <w:lang w:eastAsia="es-CO"/>
        </w:rPr>
      </w:pPr>
      <w:hyperlink r:id="rId4" w:history="1">
        <w:r w:rsidRPr="006B32FC">
          <w:rPr>
            <w:rFonts w:eastAsia="Times New Roman" w:cs="Times New Roman"/>
            <w:szCs w:val="24"/>
            <w:lang w:eastAsia="es-CO"/>
          </w:rPr>
          <w:t>paod41@gmail.com</w:t>
        </w:r>
      </w:hyperlink>
    </w:p>
    <w:p w:rsidR="006B32FC" w:rsidRPr="006B32FC" w:rsidRDefault="006B32FC" w:rsidP="006B32FC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szCs w:val="24"/>
          <w:lang w:eastAsia="es-CO"/>
        </w:rPr>
        <w:t>Pereira – Risaralda</w:t>
      </w:r>
    </w:p>
    <w:p w:rsidR="006B32FC" w:rsidRPr="006B32FC" w:rsidRDefault="006B32FC" w:rsidP="006B32FC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szCs w:val="24"/>
          <w:lang w:eastAsia="es-CO"/>
        </w:rPr>
        <w:t> </w:t>
      </w:r>
    </w:p>
    <w:p w:rsidR="006B32FC" w:rsidRPr="006B32FC" w:rsidRDefault="006B32FC" w:rsidP="006B32FC">
      <w:pPr>
        <w:spacing w:line="240" w:lineRule="auto"/>
        <w:rPr>
          <w:rFonts w:eastAsia="Times New Roman" w:cs="Times New Roman"/>
          <w:szCs w:val="24"/>
          <w:lang w:eastAsia="es-CO"/>
        </w:rPr>
      </w:pPr>
      <w:proofErr w:type="spellStart"/>
      <w:r w:rsidRPr="006B32FC">
        <w:rPr>
          <w:rFonts w:eastAsia="Times New Roman" w:cs="Times New Roman"/>
          <w:b/>
          <w:bCs/>
          <w:szCs w:val="24"/>
          <w:lang w:eastAsia="es-CO"/>
        </w:rPr>
        <w:t>Ref</w:t>
      </w:r>
      <w:proofErr w:type="spellEnd"/>
      <w:r w:rsidRPr="006B32FC">
        <w:rPr>
          <w:rFonts w:eastAsia="Times New Roman" w:cs="Times New Roman"/>
          <w:b/>
          <w:bCs/>
          <w:szCs w:val="24"/>
          <w:lang w:eastAsia="es-CO"/>
        </w:rPr>
        <w:t>: </w:t>
      </w:r>
      <w:r w:rsidRPr="006B32FC">
        <w:rPr>
          <w:rFonts w:eastAsia="Times New Roman" w:cs="Times New Roman"/>
          <w:szCs w:val="24"/>
          <w:lang w:eastAsia="es-CO"/>
        </w:rPr>
        <w:t>Radicado 031704 del 15/09/2017</w:t>
      </w:r>
    </w:p>
    <w:p w:rsidR="006B32FC" w:rsidRPr="006B32FC" w:rsidRDefault="006B32FC" w:rsidP="006B32FC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b/>
          <w:bCs/>
          <w:szCs w:val="24"/>
          <w:lang w:eastAsia="es-CO"/>
        </w:rPr>
        <w:t> </w:t>
      </w:r>
    </w:p>
    <w:p w:rsidR="006B32FC" w:rsidRPr="006B32FC" w:rsidRDefault="006B32FC" w:rsidP="006B32FC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b/>
          <w:bCs/>
          <w:szCs w:val="24"/>
          <w:lang w:eastAsia="es-CO"/>
        </w:rPr>
        <w:t>Tema </w:t>
      </w:r>
      <w:r w:rsidRPr="006B32FC">
        <w:rPr>
          <w:rFonts w:eastAsia="Times New Roman" w:cs="Times New Roman"/>
          <w:szCs w:val="24"/>
          <w:lang w:eastAsia="es-CO"/>
        </w:rPr>
        <w:t>Impuesto a las ventas</w:t>
      </w:r>
    </w:p>
    <w:p w:rsidR="006B32FC" w:rsidRPr="006B32FC" w:rsidRDefault="006B32FC" w:rsidP="006B32FC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b/>
          <w:bCs/>
          <w:szCs w:val="24"/>
          <w:lang w:eastAsia="es-CO"/>
        </w:rPr>
        <w:t>Descriptores </w:t>
      </w:r>
      <w:r w:rsidRPr="006B32FC">
        <w:rPr>
          <w:rFonts w:eastAsia="Times New Roman" w:cs="Times New Roman"/>
          <w:szCs w:val="24"/>
          <w:lang w:eastAsia="es-CO"/>
        </w:rPr>
        <w:t>EXCLUSIÓN DEL IMPUESTO SOBRE LAS VENTAS; Bienes Excluidos*</w:t>
      </w:r>
    </w:p>
    <w:p w:rsidR="006B32FC" w:rsidRPr="006B32FC" w:rsidRDefault="006B32FC" w:rsidP="006B32FC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b/>
          <w:bCs/>
          <w:szCs w:val="24"/>
          <w:lang w:eastAsia="es-CO"/>
        </w:rPr>
        <w:t>Fuentes formales </w:t>
      </w:r>
      <w:r w:rsidRPr="006B32FC">
        <w:rPr>
          <w:rFonts w:eastAsia="Times New Roman" w:cs="Times New Roman"/>
          <w:szCs w:val="24"/>
          <w:lang w:eastAsia="es-CO"/>
        </w:rPr>
        <w:t>Artículos 11 y 12 Ley 1715 de 2014</w:t>
      </w:r>
    </w:p>
    <w:p w:rsidR="006B32FC" w:rsidRPr="006B32FC" w:rsidRDefault="006B32FC" w:rsidP="006B32FC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szCs w:val="24"/>
          <w:lang w:eastAsia="es-CO"/>
        </w:rPr>
        <w:t> </w:t>
      </w:r>
    </w:p>
    <w:p w:rsidR="006B32FC" w:rsidRPr="006B32FC" w:rsidRDefault="006B32FC" w:rsidP="006B32FC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szCs w:val="24"/>
          <w:lang w:eastAsia="es-CO"/>
        </w:rPr>
        <w:t> </w:t>
      </w:r>
    </w:p>
    <w:p w:rsidR="006B32FC" w:rsidRPr="006B32FC" w:rsidRDefault="006B32FC" w:rsidP="006B32FC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szCs w:val="24"/>
          <w:lang w:eastAsia="es-CO"/>
        </w:rPr>
        <w:t>Cordial saludo, Sra. Paola Andrea.</w:t>
      </w:r>
    </w:p>
    <w:p w:rsidR="006B32FC" w:rsidRPr="006B32FC" w:rsidRDefault="006B32FC" w:rsidP="006B32FC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szCs w:val="24"/>
          <w:lang w:eastAsia="es-CO"/>
        </w:rPr>
        <w:t> </w:t>
      </w:r>
    </w:p>
    <w:p w:rsidR="006B32FC" w:rsidRPr="006B32FC" w:rsidRDefault="006B32FC" w:rsidP="006B32FC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szCs w:val="24"/>
          <w:lang w:eastAsia="es-CO"/>
        </w:rPr>
        <w:t>De conformidad con el artículo 20 del Decreto 4048 de 2008 es función de esta Subdirección absolver de modo general las consultas escritas que se formulen sobre interpretación y aplicación de las normas tributarias de carácter nacional, aduaneras y cambiarias en lo de competencia de esta entidad.</w:t>
      </w:r>
    </w:p>
    <w:p w:rsidR="006B32FC" w:rsidRPr="006B32FC" w:rsidRDefault="006B32FC" w:rsidP="006B32FC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szCs w:val="24"/>
          <w:lang w:eastAsia="es-CO"/>
        </w:rPr>
        <w:t> </w:t>
      </w:r>
    </w:p>
    <w:p w:rsidR="006B32FC" w:rsidRPr="006B32FC" w:rsidRDefault="006B32FC" w:rsidP="006B32FC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szCs w:val="24"/>
          <w:lang w:eastAsia="es-CO"/>
        </w:rPr>
        <w:t>Para abordar el estudio de la consulta debe aclararse que no compete a esta dependencia conceptuar sobre los procedimientos específicos a seguir, las actuaciones concretas por adelantar con ocasión de actos de contribuyentes o actuaciones contractuales administrativas de funcionarios, tampoco corresponde definir, desatar, dirimir, investigar o juzgar las actuaciones de los mismos frente a esta u otras entidades, considerando que a esta Subdirección le corresponde absolver consultas sobre interpretación y aplicación de normas tributarias de carácter nacional, aduaneras y cambiarias.</w:t>
      </w:r>
    </w:p>
    <w:p w:rsidR="006B32FC" w:rsidRPr="006B32FC" w:rsidRDefault="006B32FC" w:rsidP="006B32FC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szCs w:val="24"/>
          <w:lang w:eastAsia="es-CO"/>
        </w:rPr>
        <w:t> </w:t>
      </w:r>
    </w:p>
    <w:p w:rsidR="006B32FC" w:rsidRPr="006B32FC" w:rsidRDefault="006B32FC" w:rsidP="006B32FC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szCs w:val="24"/>
          <w:lang w:eastAsia="es-CO"/>
        </w:rPr>
        <w:t>En igual sentido, los conceptos que se emiten por este despacho tienen como fundamento las circunstancias presentadas en las consultas y buscan atender los supuestos de hecho y derecho expuestos en estas en forma general; por ello, se recomienda que la lectura del mismo se haga en forma integral para la comprensión de su alcance, el cual no debe extenderse a situaciones diferentes a las planteadas y estudiadas.</w:t>
      </w:r>
    </w:p>
    <w:p w:rsidR="006B32FC" w:rsidRPr="006B32FC" w:rsidRDefault="006B32FC" w:rsidP="006B32FC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szCs w:val="24"/>
          <w:lang w:eastAsia="es-CO"/>
        </w:rPr>
        <w:t> </w:t>
      </w:r>
    </w:p>
    <w:p w:rsidR="006B32FC" w:rsidRPr="006B32FC" w:rsidRDefault="006B32FC" w:rsidP="006B32FC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szCs w:val="24"/>
          <w:lang w:eastAsia="es-CO"/>
        </w:rPr>
        <w:t>En este contexto, debe manifestarse que la aplicación de los artículos 11 y 12 de la Ley 1715 de 2014, es viable para el caso de inversiones efectuadas mediante contrato de leasing financiero. NO obstante es necesario explicar que cada uno de los artículos se refiere a beneficios diferentes.</w:t>
      </w:r>
    </w:p>
    <w:p w:rsidR="006B32FC" w:rsidRPr="006B32FC" w:rsidRDefault="006B32FC" w:rsidP="006B32FC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szCs w:val="24"/>
          <w:lang w:eastAsia="es-CO"/>
        </w:rPr>
        <w:t> </w:t>
      </w:r>
    </w:p>
    <w:p w:rsidR="006B32FC" w:rsidRPr="006B32FC" w:rsidRDefault="006B32FC" w:rsidP="006B32FC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szCs w:val="24"/>
          <w:lang w:eastAsia="es-CO"/>
        </w:rPr>
        <w:t xml:space="preserve">Nótese que mientras el artículo 11 se refiere en general a la inversión en proyectos de fuentes no convencionales de energía para efectos de otorgar derecho a deducción en el impuesto sobre la renta, el artículo 12 se refiere a la adquisición de equipos que se destinen a la </w:t>
      </w:r>
      <w:proofErr w:type="spellStart"/>
      <w:r w:rsidRPr="006B32FC">
        <w:rPr>
          <w:rFonts w:eastAsia="Times New Roman" w:cs="Times New Roman"/>
          <w:szCs w:val="24"/>
          <w:lang w:eastAsia="es-CO"/>
        </w:rPr>
        <w:t>preinversión</w:t>
      </w:r>
      <w:proofErr w:type="spellEnd"/>
      <w:r w:rsidRPr="006B32FC">
        <w:rPr>
          <w:rFonts w:eastAsia="Times New Roman" w:cs="Times New Roman"/>
          <w:szCs w:val="24"/>
          <w:lang w:eastAsia="es-CO"/>
        </w:rPr>
        <w:t xml:space="preserve"> e inversión, para la producción y utilización de energía a partir de las fuentes no convencionales, así como para la medición y evaluación de los potenciales recursos, los cuales se excluyen del impuesto sobre las ventas - IVA, siempre que cumplan con condiciones legales y reglamentarias para dicha exclusión.</w:t>
      </w:r>
    </w:p>
    <w:p w:rsidR="006B32FC" w:rsidRPr="006B32FC" w:rsidRDefault="006B32FC" w:rsidP="006B32FC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szCs w:val="24"/>
          <w:lang w:eastAsia="es-CO"/>
        </w:rPr>
        <w:lastRenderedPageBreak/>
        <w:t> </w:t>
      </w:r>
    </w:p>
    <w:p w:rsidR="006B32FC" w:rsidRPr="006B32FC" w:rsidRDefault="006B32FC" w:rsidP="006B32FC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szCs w:val="24"/>
          <w:lang w:eastAsia="es-CO"/>
        </w:rPr>
        <w:t>Las normas pertinentes indican:</w:t>
      </w:r>
    </w:p>
    <w:p w:rsidR="006B32FC" w:rsidRPr="006B32FC" w:rsidRDefault="006B32FC" w:rsidP="006B32FC">
      <w:pPr>
        <w:spacing w:line="240" w:lineRule="auto"/>
        <w:ind w:left="180"/>
        <w:jc w:val="center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i/>
          <w:iCs/>
          <w:szCs w:val="24"/>
          <w:lang w:eastAsia="es-CO"/>
        </w:rPr>
        <w:t> </w:t>
      </w:r>
    </w:p>
    <w:p w:rsidR="006B32FC" w:rsidRPr="006B32FC" w:rsidRDefault="006B32FC" w:rsidP="006B32FC">
      <w:pPr>
        <w:spacing w:line="240" w:lineRule="auto"/>
        <w:ind w:left="180"/>
        <w:jc w:val="center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b/>
          <w:bCs/>
          <w:i/>
          <w:iCs/>
          <w:szCs w:val="24"/>
          <w:lang w:eastAsia="es-CO"/>
        </w:rPr>
        <w:t>INCENTIVOS A LA INVERSIÓN EN PROYECTOS DE FUENTES NO CONVENCIONALES DE ENERGÍA.</w:t>
      </w:r>
    </w:p>
    <w:p w:rsidR="006B32FC" w:rsidRPr="006B32FC" w:rsidRDefault="006B32FC" w:rsidP="006B32FC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b/>
          <w:bCs/>
          <w:i/>
          <w:iCs/>
          <w:szCs w:val="24"/>
          <w:lang w:eastAsia="es-CO"/>
        </w:rPr>
        <w:t> </w:t>
      </w:r>
    </w:p>
    <w:p w:rsidR="006B32FC" w:rsidRPr="006B32FC" w:rsidRDefault="006B32FC" w:rsidP="006B32FC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b/>
          <w:bCs/>
          <w:i/>
          <w:iCs/>
          <w:szCs w:val="24"/>
          <w:lang w:eastAsia="es-CO"/>
        </w:rPr>
        <w:t>ARTÍCULO 11. INCENTIVOS A LA GENERACIÓN DE ENERGÍAS NO CONVENCIONALES. </w:t>
      </w:r>
      <w:r w:rsidRPr="006B32FC">
        <w:rPr>
          <w:rFonts w:eastAsia="Times New Roman" w:cs="Times New Roman"/>
          <w:i/>
          <w:iCs/>
          <w:szCs w:val="24"/>
          <w:lang w:eastAsia="es-CO"/>
        </w:rPr>
        <w:t>Como fomento a la investigación, desarrollo e inversión en el ámbito de la producción y utilización de energía a partir de FNCE, la gestión eficiente de la energía, los obligados a declarar </w:t>
      </w:r>
      <w:r w:rsidRPr="006B32FC">
        <w:rPr>
          <w:rFonts w:eastAsia="Times New Roman" w:cs="Times New Roman"/>
          <w:i/>
          <w:iCs/>
          <w:szCs w:val="24"/>
          <w:u w:val="single"/>
          <w:lang w:eastAsia="es-CO"/>
        </w:rPr>
        <w:t>renta que realicen directamente inversiones</w:t>
      </w:r>
      <w:r w:rsidRPr="006B32FC">
        <w:rPr>
          <w:rFonts w:eastAsia="Times New Roman" w:cs="Times New Roman"/>
          <w:i/>
          <w:iCs/>
          <w:szCs w:val="24"/>
          <w:lang w:eastAsia="es-CO"/>
        </w:rPr>
        <w:t> en este sentido, tendrán derecho a reducir anualmente de su renta, por los 5 años siguientes al año gravable en que hayan realizado la inversión, </w:t>
      </w:r>
      <w:r w:rsidRPr="006B32FC">
        <w:rPr>
          <w:rFonts w:eastAsia="Times New Roman" w:cs="Times New Roman"/>
          <w:i/>
          <w:iCs/>
          <w:szCs w:val="24"/>
          <w:u w:val="single"/>
          <w:lang w:eastAsia="es-CO"/>
        </w:rPr>
        <w:t>el cincuenta por ciento (50%) del valor total de la inversión realizada</w:t>
      </w:r>
      <w:r w:rsidRPr="006B32FC">
        <w:rPr>
          <w:rFonts w:eastAsia="Times New Roman" w:cs="Times New Roman"/>
          <w:i/>
          <w:iCs/>
          <w:szCs w:val="24"/>
          <w:lang w:eastAsia="es-CO"/>
        </w:rPr>
        <w:t>.</w:t>
      </w:r>
    </w:p>
    <w:p w:rsidR="006B32FC" w:rsidRPr="006B32FC" w:rsidRDefault="006B32FC" w:rsidP="006B32FC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i/>
          <w:iCs/>
          <w:szCs w:val="24"/>
          <w:lang w:eastAsia="es-CO"/>
        </w:rPr>
        <w:t> </w:t>
      </w:r>
    </w:p>
    <w:p w:rsidR="006B32FC" w:rsidRPr="006B32FC" w:rsidRDefault="006B32FC" w:rsidP="006B32FC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i/>
          <w:iCs/>
          <w:szCs w:val="24"/>
          <w:lang w:eastAsia="es-CO"/>
        </w:rPr>
        <w:t>El valor a deducir por este concepto, </w:t>
      </w:r>
      <w:r w:rsidRPr="006B32FC">
        <w:rPr>
          <w:rFonts w:eastAsia="Times New Roman" w:cs="Times New Roman"/>
          <w:i/>
          <w:iCs/>
          <w:szCs w:val="24"/>
          <w:u w:val="single"/>
          <w:lang w:eastAsia="es-CO"/>
        </w:rPr>
        <w:t>en ningún caso podrá ser superior al 50% de la renta líquida del contribuyente determinada antes de restar el valor de la inversión</w:t>
      </w:r>
      <w:r w:rsidRPr="006B32FC">
        <w:rPr>
          <w:rFonts w:eastAsia="Times New Roman" w:cs="Times New Roman"/>
          <w:i/>
          <w:iCs/>
          <w:szCs w:val="24"/>
          <w:lang w:eastAsia="es-CO"/>
        </w:rPr>
        <w:t>.</w:t>
      </w:r>
    </w:p>
    <w:p w:rsidR="006B32FC" w:rsidRPr="006B32FC" w:rsidRDefault="006B32FC" w:rsidP="006B32FC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i/>
          <w:iCs/>
          <w:szCs w:val="24"/>
          <w:lang w:eastAsia="es-CO"/>
        </w:rPr>
        <w:t> </w:t>
      </w:r>
    </w:p>
    <w:p w:rsidR="006B32FC" w:rsidRPr="006B32FC" w:rsidRDefault="006B32FC" w:rsidP="006B32FC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i/>
          <w:iCs/>
          <w:szCs w:val="24"/>
          <w:lang w:eastAsia="es-CO"/>
        </w:rPr>
        <w:t>Para los efectos de la obtención del presente beneficio tributario, </w:t>
      </w:r>
      <w:r w:rsidRPr="006B32FC">
        <w:rPr>
          <w:rFonts w:eastAsia="Times New Roman" w:cs="Times New Roman"/>
          <w:i/>
          <w:iCs/>
          <w:szCs w:val="24"/>
          <w:u w:val="single"/>
          <w:lang w:eastAsia="es-CO"/>
        </w:rPr>
        <w:t>la inversión causante del mismo deberá obtener la certificación de beneficio ambiental por el Ministerio de Ambiente y ser debidamente certificada como tal por el Ministerio de Medio Ambiente y Desarrollo Sostenible</w:t>
      </w:r>
      <w:r w:rsidRPr="006B32FC">
        <w:rPr>
          <w:rFonts w:eastAsia="Times New Roman" w:cs="Times New Roman"/>
          <w:i/>
          <w:iCs/>
          <w:szCs w:val="24"/>
          <w:lang w:eastAsia="es-CO"/>
        </w:rPr>
        <w:t>, en concordancia con lo establecido en el </w:t>
      </w:r>
      <w:hyperlink r:id="rId5" w:tooltip="Estatuto Tributario CETA" w:history="1">
        <w:r w:rsidRPr="006B32FC">
          <w:rPr>
            <w:rFonts w:eastAsia="Times New Roman" w:cs="Times New Roman"/>
            <w:i/>
            <w:iCs/>
            <w:szCs w:val="24"/>
            <w:lang w:eastAsia="es-CO"/>
          </w:rPr>
          <w:t>artículo 158-2</w:t>
        </w:r>
      </w:hyperlink>
      <w:r w:rsidRPr="006B32FC">
        <w:rPr>
          <w:rFonts w:eastAsia="Times New Roman" w:cs="Times New Roman"/>
          <w:i/>
          <w:iCs/>
          <w:szCs w:val="24"/>
          <w:lang w:eastAsia="es-CO"/>
        </w:rPr>
        <w:t> del Estatuto Tributario.</w:t>
      </w:r>
    </w:p>
    <w:p w:rsidR="006B32FC" w:rsidRPr="006B32FC" w:rsidRDefault="006B32FC" w:rsidP="006B32FC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i/>
          <w:iCs/>
          <w:szCs w:val="24"/>
          <w:lang w:eastAsia="es-CO"/>
        </w:rPr>
        <w:t> </w:t>
      </w:r>
    </w:p>
    <w:p w:rsidR="006B32FC" w:rsidRPr="006B32FC" w:rsidRDefault="006B32FC" w:rsidP="006B32FC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b/>
          <w:bCs/>
          <w:i/>
          <w:iCs/>
          <w:szCs w:val="24"/>
          <w:lang w:eastAsia="es-CO"/>
        </w:rPr>
        <w:t>ARTÍCULO 12. INSTRUMENTOS PARA LA PROMOCIÓN DE LAS FNCE. INCENTIVO TRIBUTARIO IVA. </w:t>
      </w:r>
      <w:r w:rsidRPr="006B32FC">
        <w:rPr>
          <w:rFonts w:eastAsia="Times New Roman" w:cs="Times New Roman"/>
          <w:i/>
          <w:iCs/>
          <w:szCs w:val="24"/>
          <w:lang w:eastAsia="es-CO"/>
        </w:rPr>
        <w:t>Para fomentar el uso de la energía procedente de FNCE, </w:t>
      </w:r>
      <w:r w:rsidRPr="006B32FC">
        <w:rPr>
          <w:rFonts w:eastAsia="Times New Roman" w:cs="Times New Roman"/>
          <w:i/>
          <w:iCs/>
          <w:szCs w:val="24"/>
          <w:u w:val="single"/>
          <w:lang w:eastAsia="es-CO"/>
        </w:rPr>
        <w:t xml:space="preserve">los equipos, elementos, maquinaria y servicios nacionales o importados que se destinen a la </w:t>
      </w:r>
      <w:proofErr w:type="spellStart"/>
      <w:r w:rsidRPr="006B32FC">
        <w:rPr>
          <w:rFonts w:eastAsia="Times New Roman" w:cs="Times New Roman"/>
          <w:i/>
          <w:iCs/>
          <w:szCs w:val="24"/>
          <w:u w:val="single"/>
          <w:lang w:eastAsia="es-CO"/>
        </w:rPr>
        <w:t>preinversión</w:t>
      </w:r>
      <w:proofErr w:type="spellEnd"/>
      <w:r w:rsidRPr="006B32FC">
        <w:rPr>
          <w:rFonts w:eastAsia="Times New Roman" w:cs="Times New Roman"/>
          <w:i/>
          <w:iCs/>
          <w:szCs w:val="24"/>
          <w:u w:val="single"/>
          <w:lang w:eastAsia="es-CO"/>
        </w:rPr>
        <w:t xml:space="preserve"> e inversión, para la producción y utilización de energía a partir de las fuentes no convencionales, así como para la medición y evaluación de los potenciales recursos estarán excluidos de IVA</w:t>
      </w:r>
      <w:r w:rsidRPr="006B32FC">
        <w:rPr>
          <w:rFonts w:eastAsia="Times New Roman" w:cs="Times New Roman"/>
          <w:i/>
          <w:iCs/>
          <w:szCs w:val="24"/>
          <w:lang w:eastAsia="es-CO"/>
        </w:rPr>
        <w:t>.</w:t>
      </w:r>
    </w:p>
    <w:p w:rsidR="006B32FC" w:rsidRPr="006B32FC" w:rsidRDefault="006B32FC" w:rsidP="006B32FC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i/>
          <w:iCs/>
          <w:szCs w:val="24"/>
          <w:lang w:eastAsia="es-CO"/>
        </w:rPr>
        <w:t> </w:t>
      </w:r>
    </w:p>
    <w:p w:rsidR="006B32FC" w:rsidRPr="006B32FC" w:rsidRDefault="006B32FC" w:rsidP="006B32FC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i/>
          <w:iCs/>
          <w:szCs w:val="24"/>
          <w:lang w:eastAsia="es-CO"/>
        </w:rPr>
        <w:t>Para tal efecto, </w:t>
      </w:r>
      <w:r w:rsidRPr="006B32FC">
        <w:rPr>
          <w:rFonts w:eastAsia="Times New Roman" w:cs="Times New Roman"/>
          <w:i/>
          <w:iCs/>
          <w:szCs w:val="24"/>
          <w:u w:val="single"/>
          <w:lang w:eastAsia="es-CO"/>
        </w:rPr>
        <w:t>el Ministerio de Medio Ambiente certificará los equipos y servicios excluidos del gravamen, con base en una lista expedida por la UPME</w:t>
      </w:r>
      <w:r w:rsidRPr="006B32FC">
        <w:rPr>
          <w:rFonts w:eastAsia="Times New Roman" w:cs="Times New Roman"/>
          <w:i/>
          <w:iCs/>
          <w:szCs w:val="24"/>
          <w:lang w:eastAsia="es-CO"/>
        </w:rPr>
        <w:t>. (Subrayados fuera de texto)</w:t>
      </w:r>
    </w:p>
    <w:p w:rsidR="006B32FC" w:rsidRPr="006B32FC" w:rsidRDefault="006B32FC" w:rsidP="006B32FC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i/>
          <w:iCs/>
          <w:szCs w:val="24"/>
          <w:lang w:eastAsia="es-CO"/>
        </w:rPr>
        <w:t> </w:t>
      </w:r>
    </w:p>
    <w:p w:rsidR="006B32FC" w:rsidRPr="006B32FC" w:rsidRDefault="006B32FC" w:rsidP="006B32FC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szCs w:val="24"/>
          <w:lang w:eastAsia="es-CO"/>
        </w:rPr>
        <w:t>Como se puede extractar de las disposiciones transcritas y subrayadas la inversión a la que hace referencia el artículo 11 mencionado debe entenderse relacionada con la inversión directa que realiza el contribuyente para la producción y utilización de energías no convencionales; por tanto, el beneficio o incentivo no cobija a terceros contribuyentes ni actividades o inversiones distintas a las mencionadas y se aplica como derecho a deducir del impuesto de renta hasta el cincuenta por ciento (50%) del valor de la inversión realizada previa certificación del Ministerio de Medio Ambiente y Desarrollo Sostenible.</w:t>
      </w:r>
    </w:p>
    <w:p w:rsidR="006B32FC" w:rsidRPr="006B32FC" w:rsidRDefault="006B32FC" w:rsidP="006B32FC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szCs w:val="24"/>
          <w:lang w:eastAsia="es-CO"/>
        </w:rPr>
        <w:t> </w:t>
      </w:r>
    </w:p>
    <w:p w:rsidR="006B32FC" w:rsidRPr="006B32FC" w:rsidRDefault="006B32FC" w:rsidP="006B32FC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szCs w:val="24"/>
          <w:lang w:eastAsia="es-CO"/>
        </w:rPr>
        <w:t xml:space="preserve">Por su parte el artículo 12 citado se refiere a la adquisición de equipos, elementos y maquinaria y servicios para la </w:t>
      </w:r>
      <w:proofErr w:type="spellStart"/>
      <w:r w:rsidRPr="006B32FC">
        <w:rPr>
          <w:rFonts w:eastAsia="Times New Roman" w:cs="Times New Roman"/>
          <w:szCs w:val="24"/>
          <w:lang w:eastAsia="es-CO"/>
        </w:rPr>
        <w:t>preinversión</w:t>
      </w:r>
      <w:proofErr w:type="spellEnd"/>
      <w:r w:rsidRPr="006B32FC">
        <w:rPr>
          <w:rFonts w:eastAsia="Times New Roman" w:cs="Times New Roman"/>
          <w:szCs w:val="24"/>
          <w:lang w:eastAsia="es-CO"/>
        </w:rPr>
        <w:t xml:space="preserve"> e inversión en FNCE, los cuales estarán excluidos de IVA, si los mismos se encuentran certificados como tales por el </w:t>
      </w:r>
      <w:proofErr w:type="spellStart"/>
      <w:r w:rsidRPr="006B32FC">
        <w:rPr>
          <w:rFonts w:eastAsia="Times New Roman" w:cs="Times New Roman"/>
          <w:szCs w:val="24"/>
          <w:lang w:eastAsia="es-CO"/>
        </w:rPr>
        <w:t>Minsterio</w:t>
      </w:r>
      <w:proofErr w:type="spellEnd"/>
      <w:r w:rsidRPr="006B32FC">
        <w:rPr>
          <w:rFonts w:eastAsia="Times New Roman" w:cs="Times New Roman"/>
          <w:szCs w:val="24"/>
          <w:lang w:eastAsia="es-CO"/>
        </w:rPr>
        <w:t xml:space="preserve"> (sic) de Medio </w:t>
      </w:r>
      <w:proofErr w:type="spellStart"/>
      <w:r w:rsidRPr="006B32FC">
        <w:rPr>
          <w:rFonts w:eastAsia="Times New Roman" w:cs="Times New Roman"/>
          <w:szCs w:val="24"/>
          <w:lang w:eastAsia="es-CO"/>
        </w:rPr>
        <w:t>ambien</w:t>
      </w:r>
      <w:proofErr w:type="spellEnd"/>
      <w:r w:rsidRPr="006B32FC">
        <w:rPr>
          <w:rFonts w:eastAsia="Times New Roman" w:cs="Times New Roman"/>
          <w:szCs w:val="24"/>
          <w:lang w:eastAsia="es-CO"/>
        </w:rPr>
        <w:t xml:space="preserve"> (sic) con fundamento en la lista expedida por la UPME.</w:t>
      </w:r>
    </w:p>
    <w:p w:rsidR="006B32FC" w:rsidRPr="006B32FC" w:rsidRDefault="006B32FC" w:rsidP="006B32FC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szCs w:val="24"/>
          <w:lang w:eastAsia="es-CO"/>
        </w:rPr>
        <w:t> </w:t>
      </w:r>
    </w:p>
    <w:p w:rsidR="006B32FC" w:rsidRPr="006B32FC" w:rsidRDefault="006B32FC" w:rsidP="006B32FC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szCs w:val="24"/>
          <w:lang w:eastAsia="es-CO"/>
        </w:rPr>
        <w:t xml:space="preserve">Así las cosas, para efectos de la aplicación del beneficio de IVA </w:t>
      </w:r>
      <w:proofErr w:type="gramStart"/>
      <w:r w:rsidRPr="006B32FC">
        <w:rPr>
          <w:rFonts w:eastAsia="Times New Roman" w:cs="Times New Roman"/>
          <w:szCs w:val="24"/>
          <w:lang w:eastAsia="es-CO"/>
        </w:rPr>
        <w:t>debe</w:t>
      </w:r>
      <w:proofErr w:type="gramEnd"/>
      <w:r w:rsidRPr="006B32FC">
        <w:rPr>
          <w:rFonts w:eastAsia="Times New Roman" w:cs="Times New Roman"/>
          <w:szCs w:val="24"/>
          <w:lang w:eastAsia="es-CO"/>
        </w:rPr>
        <w:t xml:space="preserve"> tratarse de la adquisición de equipos, elementos, maquinaria y servicios nacionales o importados que se destinen a la </w:t>
      </w:r>
      <w:proofErr w:type="spellStart"/>
      <w:r w:rsidRPr="006B32FC">
        <w:rPr>
          <w:rFonts w:eastAsia="Times New Roman" w:cs="Times New Roman"/>
          <w:szCs w:val="24"/>
          <w:lang w:eastAsia="es-CO"/>
        </w:rPr>
        <w:t>preinversión</w:t>
      </w:r>
      <w:proofErr w:type="spellEnd"/>
      <w:r w:rsidRPr="006B32FC">
        <w:rPr>
          <w:rFonts w:eastAsia="Times New Roman" w:cs="Times New Roman"/>
          <w:szCs w:val="24"/>
          <w:lang w:eastAsia="es-CO"/>
        </w:rPr>
        <w:t xml:space="preserve"> e inversión, que sean certificados como excluidos del gravamen con base en la lista expedida por la UPME.</w:t>
      </w:r>
    </w:p>
    <w:p w:rsidR="006B32FC" w:rsidRPr="006B32FC" w:rsidRDefault="006B32FC" w:rsidP="006B32FC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szCs w:val="24"/>
          <w:lang w:eastAsia="es-CO"/>
        </w:rPr>
        <w:t> </w:t>
      </w:r>
    </w:p>
    <w:p w:rsidR="006B32FC" w:rsidRPr="006B32FC" w:rsidRDefault="006B32FC" w:rsidP="006B32FC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szCs w:val="24"/>
          <w:lang w:eastAsia="es-CO"/>
        </w:rPr>
        <w:t xml:space="preserve">Considerando que el IVA se causa en la adquisición de los equipos, la expedición de la factura o el documento de venta debe hacerse a nombre de quien adquiere los equipos para </w:t>
      </w:r>
      <w:r w:rsidRPr="006B32FC">
        <w:rPr>
          <w:rFonts w:eastAsia="Times New Roman" w:cs="Times New Roman"/>
          <w:szCs w:val="24"/>
          <w:lang w:eastAsia="es-CO"/>
        </w:rPr>
        <w:lastRenderedPageBreak/>
        <w:t xml:space="preserve">destinarlos a la </w:t>
      </w:r>
      <w:proofErr w:type="spellStart"/>
      <w:r w:rsidRPr="006B32FC">
        <w:rPr>
          <w:rFonts w:eastAsia="Times New Roman" w:cs="Times New Roman"/>
          <w:szCs w:val="24"/>
          <w:lang w:eastAsia="es-CO"/>
        </w:rPr>
        <w:t>preinversión</w:t>
      </w:r>
      <w:proofErr w:type="spellEnd"/>
      <w:r w:rsidRPr="006B32FC">
        <w:rPr>
          <w:rFonts w:eastAsia="Times New Roman" w:cs="Times New Roman"/>
          <w:szCs w:val="24"/>
          <w:lang w:eastAsia="es-CO"/>
        </w:rPr>
        <w:t xml:space="preserve"> o inversión, dado que en esta forma se cumple con los requisitos para estar excluidos de dicho gravamen.</w:t>
      </w:r>
    </w:p>
    <w:p w:rsidR="006B32FC" w:rsidRPr="006B32FC" w:rsidRDefault="006B32FC" w:rsidP="006B32FC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szCs w:val="24"/>
          <w:lang w:eastAsia="es-CO"/>
        </w:rPr>
        <w:t> </w:t>
      </w:r>
    </w:p>
    <w:p w:rsidR="006B32FC" w:rsidRPr="006B32FC" w:rsidRDefault="006B32FC" w:rsidP="006B32FC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szCs w:val="24"/>
          <w:lang w:eastAsia="es-CO"/>
        </w:rPr>
        <w:t>En complemento de lo anterior debe tenerse en cuenta lo explicado en el Oficio 006886 de 2016, en el cual se explicó el tema de inversiones en Leasing financiero y se remite para su conocimiento.</w:t>
      </w:r>
    </w:p>
    <w:p w:rsidR="006B32FC" w:rsidRPr="006B32FC" w:rsidRDefault="006B32FC" w:rsidP="006B32FC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szCs w:val="24"/>
          <w:lang w:eastAsia="es-CO"/>
        </w:rPr>
        <w:t> </w:t>
      </w:r>
    </w:p>
    <w:p w:rsidR="006B32FC" w:rsidRPr="006B32FC" w:rsidRDefault="006B32FC" w:rsidP="006B32FC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szCs w:val="24"/>
          <w:lang w:eastAsia="es-CO"/>
        </w:rPr>
        <w:t> </w:t>
      </w:r>
    </w:p>
    <w:p w:rsidR="006B32FC" w:rsidRPr="006B32FC" w:rsidRDefault="006B32FC" w:rsidP="006B32FC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szCs w:val="24"/>
          <w:lang w:eastAsia="es-CO"/>
        </w:rPr>
        <w:t>Atentamente,</w:t>
      </w:r>
    </w:p>
    <w:p w:rsidR="006B32FC" w:rsidRPr="006B32FC" w:rsidRDefault="006B32FC" w:rsidP="006B32FC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b/>
          <w:bCs/>
          <w:szCs w:val="24"/>
          <w:lang w:eastAsia="es-CO"/>
        </w:rPr>
        <w:t> </w:t>
      </w:r>
    </w:p>
    <w:p w:rsidR="006B32FC" w:rsidRPr="006B32FC" w:rsidRDefault="006B32FC" w:rsidP="006B32FC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b/>
          <w:bCs/>
          <w:szCs w:val="24"/>
          <w:lang w:eastAsia="es-CO"/>
        </w:rPr>
        <w:t> </w:t>
      </w:r>
    </w:p>
    <w:p w:rsidR="006B32FC" w:rsidRPr="006B32FC" w:rsidRDefault="006B32FC" w:rsidP="006B32FC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b/>
          <w:bCs/>
          <w:szCs w:val="24"/>
          <w:lang w:eastAsia="es-CO"/>
        </w:rPr>
        <w:t>OSCAR FERRER MARÍN</w:t>
      </w:r>
    </w:p>
    <w:p w:rsidR="006B32FC" w:rsidRPr="006B32FC" w:rsidRDefault="006B32FC" w:rsidP="006B32FC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6B32FC">
        <w:rPr>
          <w:rFonts w:eastAsia="Times New Roman" w:cs="Times New Roman"/>
          <w:szCs w:val="24"/>
          <w:lang w:eastAsia="es-CO"/>
        </w:rPr>
        <w:t>Subdirector de Gestión Normativa y Doctrina (A</w:t>
      </w:r>
    </w:p>
    <w:p w:rsidR="00961BFA" w:rsidRPr="006B32FC" w:rsidRDefault="00961BFA">
      <w:pPr>
        <w:rPr>
          <w:rFonts w:cs="Times New Roman"/>
          <w:szCs w:val="24"/>
        </w:rPr>
      </w:pPr>
    </w:p>
    <w:p w:rsidR="006B32FC" w:rsidRPr="006B32FC" w:rsidRDefault="006B32FC">
      <w:pPr>
        <w:rPr>
          <w:rFonts w:cs="Times New Roman"/>
          <w:szCs w:val="24"/>
        </w:rPr>
      </w:pPr>
    </w:p>
    <w:sectPr w:rsidR="006B32FC" w:rsidRPr="006B32FC" w:rsidSect="00B94BED">
      <w:pgSz w:w="12242" w:h="18705" w:code="120"/>
      <w:pgMar w:top="1701" w:right="1701" w:bottom="1701" w:left="1701" w:header="1418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FC"/>
    <w:rsid w:val="0029351E"/>
    <w:rsid w:val="006B32FC"/>
    <w:rsid w:val="00961BFA"/>
    <w:rsid w:val="00B94BED"/>
    <w:rsid w:val="00E3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3E50560-DA56-414B-A238-0DB2A527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3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eta.org.co/html/vista_de_un_articulo.asp?Norma=222" TargetMode="External"/><Relationship Id="rId4" Type="http://schemas.openxmlformats.org/officeDocument/2006/relationships/hyperlink" Target="mailto:paod41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997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NACIONAL DE ESTUDIOS TRIBUTARIOS DE COLOMBIA CNETCO</dc:creator>
  <cp:keywords/>
  <dc:description/>
  <cp:lastModifiedBy>CENTRO NACIONAL DE ESTUDIOS TRIBUTARIOS DE COLOMBIA CNETCO</cp:lastModifiedBy>
  <cp:revision>1</cp:revision>
  <dcterms:created xsi:type="dcterms:W3CDTF">2017-12-25T20:55:00Z</dcterms:created>
  <dcterms:modified xsi:type="dcterms:W3CDTF">2017-12-25T20:57:00Z</dcterms:modified>
</cp:coreProperties>
</file>