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D4" w:rsidRPr="00F904D4" w:rsidRDefault="00F904D4" w:rsidP="00F904D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OFICIO Nº 027530</w:t>
      </w:r>
    </w:p>
    <w:p w:rsidR="00F904D4" w:rsidRPr="00F904D4" w:rsidRDefault="00F904D4" w:rsidP="00F904D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10-10-2017</w:t>
      </w:r>
    </w:p>
    <w:p w:rsidR="00F904D4" w:rsidRPr="00F904D4" w:rsidRDefault="00F904D4" w:rsidP="00F904D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DIAN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 </w:t>
      </w:r>
      <w:bookmarkStart w:id="0" w:name="_GoBack"/>
      <w:bookmarkEnd w:id="0"/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Dirección de Gestión Jurídica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100208221 001602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Bogotá, D.C.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Señor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SERGIO CUERVO VALENCIA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Carrera 36 No. 8A – 47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hyperlink r:id="rId4" w:history="1">
        <w:r w:rsidRPr="00F904D4">
          <w:rPr>
            <w:rFonts w:eastAsia="Times New Roman" w:cs="Times New Roman"/>
            <w:szCs w:val="24"/>
            <w:lang w:eastAsia="es-CO"/>
          </w:rPr>
          <w:t>cuervosergio1@hotmail.com</w:t>
        </w:r>
      </w:hyperlink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Medellín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proofErr w:type="spellStart"/>
      <w:r w:rsidRPr="00F904D4">
        <w:rPr>
          <w:rFonts w:eastAsia="Times New Roman" w:cs="Times New Roman"/>
          <w:b/>
          <w:bCs/>
          <w:szCs w:val="24"/>
          <w:lang w:eastAsia="es-CO"/>
        </w:rPr>
        <w:t>Ref</w:t>
      </w:r>
      <w:proofErr w:type="spellEnd"/>
      <w:r w:rsidRPr="00F904D4">
        <w:rPr>
          <w:rFonts w:eastAsia="Times New Roman" w:cs="Times New Roman"/>
          <w:b/>
          <w:bCs/>
          <w:szCs w:val="24"/>
          <w:lang w:eastAsia="es-CO"/>
        </w:rPr>
        <w:t>:</w:t>
      </w:r>
      <w:r w:rsidRPr="00F904D4">
        <w:rPr>
          <w:rFonts w:eastAsia="Times New Roman" w:cs="Times New Roman"/>
          <w:szCs w:val="24"/>
          <w:lang w:eastAsia="es-CO"/>
        </w:rPr>
        <w:t> Radicado 100046566 del 24/07/2017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Tema </w:t>
      </w:r>
      <w:r w:rsidRPr="00F904D4">
        <w:rPr>
          <w:rFonts w:eastAsia="Times New Roman" w:cs="Times New Roman"/>
          <w:szCs w:val="24"/>
          <w:lang w:eastAsia="es-CO"/>
        </w:rPr>
        <w:t>Impuesto sobre la Renta y Complementarios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Descriptores </w:t>
      </w:r>
      <w:r w:rsidRPr="00F904D4">
        <w:rPr>
          <w:rFonts w:eastAsia="Times New Roman" w:cs="Times New Roman"/>
          <w:szCs w:val="24"/>
          <w:lang w:eastAsia="es-CO"/>
        </w:rPr>
        <w:t>Entidades no Contribuyentes del Impuesto Sobre la Renta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Fuentes formales </w:t>
      </w:r>
      <w:r w:rsidRPr="00F904D4">
        <w:rPr>
          <w:rFonts w:eastAsia="Times New Roman" w:cs="Times New Roman"/>
          <w:szCs w:val="24"/>
          <w:lang w:eastAsia="es-CO"/>
        </w:rPr>
        <w:t>Estatuto Tributario </w:t>
      </w:r>
      <w:hyperlink r:id="rId5" w:tooltip="Estatuto Tributario CETA" w:history="1">
        <w:r w:rsidRPr="00F904D4">
          <w:rPr>
            <w:rFonts w:eastAsia="Times New Roman" w:cs="Times New Roman"/>
            <w:szCs w:val="24"/>
            <w:lang w:eastAsia="es-CO"/>
          </w:rPr>
          <w:t>art. 19-5</w:t>
        </w:r>
      </w:hyperlink>
      <w:r w:rsidRPr="00F904D4">
        <w:rPr>
          <w:rFonts w:eastAsia="Times New Roman" w:cs="Times New Roman"/>
          <w:szCs w:val="24"/>
          <w:lang w:eastAsia="es-CO"/>
        </w:rPr>
        <w:t>, adicionado L. 1819/2016, art. 143, Código Civil art. 28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Cordial saludo señor Cuervo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De conformidad con el artículo 20 del Decreto 4048 de 2008, es función de esta subdirección absolver las consultas escritas que se formulen sobre interpretación y aplicación de las normas tributarias de carácter nacional, aduaneras, cambiarias, de personal y las demás administrativas en lo de competencia de esta Entidad.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El consultante realiza las siguientes consultas: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1. ¿En materia de impuesto de renta, qué se debe entender por Explotación Comercial o Industrial?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2. Una propiedad horizontal no residencial, que arrienda parte de sus zonas comunes (bienes inmuebles) a unos terceros, para ser explotadas por estos en la actividad de parqueadero, en la actividad de restaurante y para instalar antenas, está desarrollando actividad comercial</w:t>
      </w:r>
      <w:proofErr w:type="gramStart"/>
      <w:r w:rsidRPr="00F904D4">
        <w:rPr>
          <w:rFonts w:eastAsia="Times New Roman" w:cs="Times New Roman"/>
          <w:szCs w:val="24"/>
          <w:lang w:eastAsia="es-CO"/>
        </w:rPr>
        <w:t>?</w:t>
      </w:r>
      <w:proofErr w:type="gramEnd"/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Frente a la primeria inquietud el artículo 28 del Código Civil estable (sic):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i/>
          <w:iCs/>
          <w:szCs w:val="24"/>
          <w:lang w:eastAsia="es-CO"/>
        </w:rPr>
        <w:t>“</w:t>
      </w:r>
      <w:r w:rsidRPr="00F904D4">
        <w:rPr>
          <w:rFonts w:eastAsia="Times New Roman" w:cs="Times New Roman"/>
          <w:b/>
          <w:bCs/>
          <w:i/>
          <w:iCs/>
          <w:szCs w:val="24"/>
          <w:lang w:eastAsia="es-CO"/>
        </w:rPr>
        <w:t>Artículo 28. SIGNIFICADO DE LAS PALABRAS. </w:t>
      </w:r>
      <w:r w:rsidRPr="00F904D4">
        <w:rPr>
          <w:rFonts w:eastAsia="Times New Roman" w:cs="Times New Roman"/>
          <w:i/>
          <w:iCs/>
          <w:szCs w:val="24"/>
          <w:lang w:eastAsia="es-CO"/>
        </w:rPr>
        <w:t>Las palabras de la ley se entenderán en su sentido natural y obvio, según el uso general de las mismas palabras; pero cuando el legislador las haya definido expresamente para ciertas materias, se les dará en estas su significado legal.”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Así las cosas, los términos explotación comercial o industrial deben ser interpretados en su sentido natural y obvio.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Frente a la segunda pregunta, es necesario señalar que la Ley 675 de 2001 en su artículo 2º Principios orientadores de la ley señala que se debe entender por Edificio o conjunto de uso residencial, Edificio o conjunto de uso comercial y Edificio o conjunto de uso mixto, así: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i/>
          <w:iCs/>
          <w:szCs w:val="24"/>
          <w:lang w:eastAsia="es-CO"/>
        </w:rPr>
        <w:t>“</w:t>
      </w:r>
      <w:r w:rsidRPr="00F904D4">
        <w:rPr>
          <w:rFonts w:eastAsia="Times New Roman" w:cs="Times New Roman"/>
          <w:b/>
          <w:bCs/>
          <w:i/>
          <w:iCs/>
          <w:szCs w:val="24"/>
          <w:lang w:eastAsia="es-CO"/>
        </w:rPr>
        <w:t>Edificio o conjunto de uso residencial: </w:t>
      </w:r>
      <w:r w:rsidRPr="00F904D4">
        <w:rPr>
          <w:rFonts w:eastAsia="Times New Roman" w:cs="Times New Roman"/>
          <w:i/>
          <w:iCs/>
          <w:szCs w:val="24"/>
          <w:lang w:eastAsia="es-CO"/>
        </w:rPr>
        <w:t>Inmuebles cuyos bienes de dominio particular en (sic) encuentran destinados a la vivienda de personas, de acuerdo con la normatividad urbanística vigente.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i/>
          <w:iCs/>
          <w:szCs w:val="24"/>
          <w:lang w:eastAsia="es-CO"/>
        </w:rPr>
        <w:lastRenderedPageBreak/>
        <w:t> 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i/>
          <w:iCs/>
          <w:szCs w:val="24"/>
          <w:lang w:eastAsia="es-CO"/>
        </w:rPr>
        <w:t>Edificio o conjunto de uso comercial: </w:t>
      </w:r>
      <w:r w:rsidRPr="00F904D4">
        <w:rPr>
          <w:rFonts w:eastAsia="Times New Roman" w:cs="Times New Roman"/>
          <w:i/>
          <w:iCs/>
          <w:szCs w:val="24"/>
          <w:lang w:eastAsia="es-CO"/>
        </w:rPr>
        <w:t>Inmuebles cuyos bienes de dominio particular se encuentran destinados al desarrollo de actividades mercantiles, de conformidad con la normatividad urbanística vigente.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i/>
          <w:iCs/>
          <w:szCs w:val="24"/>
          <w:lang w:eastAsia="es-CO"/>
        </w:rPr>
        <w:t>Edificio o conjunto de uso mixto: </w:t>
      </w:r>
      <w:r w:rsidRPr="00F904D4">
        <w:rPr>
          <w:rFonts w:eastAsia="Times New Roman" w:cs="Times New Roman"/>
          <w:i/>
          <w:iCs/>
          <w:szCs w:val="24"/>
          <w:lang w:eastAsia="es-CO"/>
        </w:rPr>
        <w:t>Inmuebles cuyos bienes de dominio particular tienen diversas destinaciones, tales como vivienda, comercio, industria u oficinas, de conformidad con la normatividad urbanística vigente.”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Por otro lado, la Ley 1819 (Sic) en su </w:t>
      </w:r>
      <w:hyperlink r:id="rId6" w:tooltip="Estatuto Tributario CETA" w:history="1">
        <w:r w:rsidRPr="00F904D4">
          <w:rPr>
            <w:rFonts w:eastAsia="Times New Roman" w:cs="Times New Roman"/>
            <w:szCs w:val="24"/>
            <w:lang w:eastAsia="es-CO"/>
          </w:rPr>
          <w:t>artículo 19-5</w:t>
        </w:r>
      </w:hyperlink>
      <w:r w:rsidRPr="00F904D4">
        <w:rPr>
          <w:rFonts w:eastAsia="Times New Roman" w:cs="Times New Roman"/>
          <w:szCs w:val="24"/>
          <w:lang w:eastAsia="es-CO"/>
        </w:rPr>
        <w:t> señaló: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i/>
          <w:iCs/>
          <w:szCs w:val="24"/>
          <w:lang w:eastAsia="es-CO"/>
        </w:rPr>
        <w:t>“</w:t>
      </w:r>
      <w:hyperlink r:id="rId7" w:tooltip="Estatuto Tributario CETA" w:history="1">
        <w:r w:rsidRPr="00F904D4">
          <w:rPr>
            <w:rFonts w:eastAsia="Times New Roman" w:cs="Times New Roman"/>
            <w:b/>
            <w:bCs/>
            <w:i/>
            <w:iCs/>
            <w:szCs w:val="24"/>
            <w:lang w:eastAsia="es-CO"/>
          </w:rPr>
          <w:t>ART. 19-5</w:t>
        </w:r>
      </w:hyperlink>
      <w:r w:rsidRPr="00F904D4">
        <w:rPr>
          <w:rFonts w:eastAsia="Times New Roman" w:cs="Times New Roman"/>
          <w:b/>
          <w:bCs/>
          <w:i/>
          <w:iCs/>
          <w:szCs w:val="24"/>
          <w:lang w:eastAsia="es-CO"/>
        </w:rPr>
        <w:t> Adicionado L. 1819/2016, ART. 143. Otros contribuyentes del impuesto sobre la renta y complementarios.</w:t>
      </w:r>
      <w:r w:rsidRPr="00F904D4">
        <w:rPr>
          <w:rFonts w:eastAsia="Times New Roman" w:cs="Times New Roman"/>
          <w:i/>
          <w:iCs/>
          <w:szCs w:val="24"/>
          <w:lang w:eastAsia="es-CO"/>
        </w:rPr>
        <w:t> Las personas jurídicas originadas en la constitución de la propiedad horizontal que destinan algún o algunos de sus bienes, o áreas comunes para la explotación comercial o industrial, generando algún tipo de renta, serán contribuyentes del régimen ordinario del impuesto sobre la renta y complementarios y del impuesto de industria y comercio.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i/>
          <w:iCs/>
          <w:szCs w:val="24"/>
          <w:lang w:eastAsia="es-CO"/>
        </w:rPr>
        <w:t>PAR.</w:t>
      </w:r>
      <w:r w:rsidRPr="00F904D4">
        <w:rPr>
          <w:rFonts w:eastAsia="Times New Roman" w:cs="Times New Roman"/>
          <w:i/>
          <w:iCs/>
          <w:szCs w:val="24"/>
          <w:lang w:eastAsia="es-CO"/>
        </w:rPr>
        <w:t> Se excluirán de lo dispuesto en este artículo las propiedades horizontales de uso residencial.”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Como puede observarse claramente del texto de la norma, únicamente la propiedad horizontal que está excluida en el evento en que se destine algún o algunos de sus bienes, o áreas comunes para la explotación comercial o industrial, generando algún tipo de renta, es la propiedad horizontal residencial, luego siempre que la destinación de los aludidos bienes por parte de los Edificios de uso comercial o Edificaciones o conjunto de uso mixto se destine a la explotación comercial o industrial, será gravada con el impuesto sobre la renta y complementario.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Atentamente,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 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b/>
          <w:bCs/>
          <w:szCs w:val="24"/>
          <w:lang w:eastAsia="es-CO"/>
        </w:rPr>
        <w:t>PEDRO PABLO CONTRERAS CAMARGO</w:t>
      </w:r>
    </w:p>
    <w:p w:rsidR="00F904D4" w:rsidRPr="00F904D4" w:rsidRDefault="00F904D4" w:rsidP="00F904D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904D4">
        <w:rPr>
          <w:rFonts w:eastAsia="Times New Roman" w:cs="Times New Roman"/>
          <w:szCs w:val="24"/>
          <w:lang w:eastAsia="es-CO"/>
        </w:rPr>
        <w:t>Subdirección y Gestión Normativa y Doctrina</w:t>
      </w:r>
    </w:p>
    <w:p w:rsidR="00961BFA" w:rsidRPr="00F904D4" w:rsidRDefault="00961BFA">
      <w:pPr>
        <w:rPr>
          <w:rFonts w:cs="Times New Roman"/>
          <w:szCs w:val="24"/>
        </w:rPr>
      </w:pPr>
    </w:p>
    <w:sectPr w:rsidR="00961BFA" w:rsidRPr="00F904D4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4"/>
    <w:rsid w:val="0029351E"/>
    <w:rsid w:val="00961BFA"/>
    <w:rsid w:val="00B94BED"/>
    <w:rsid w:val="00E3651C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AB4690-37FE-400F-A061-E227D584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425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2503" TargetMode="External"/><Relationship Id="rId5" Type="http://schemas.openxmlformats.org/officeDocument/2006/relationships/hyperlink" Target="https://www.ceta.org.co/html/vista_de_un_articulo.asp?Norma=42503" TargetMode="External"/><Relationship Id="rId4" Type="http://schemas.openxmlformats.org/officeDocument/2006/relationships/hyperlink" Target="mailto:cuervosergio1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1</cp:revision>
  <dcterms:created xsi:type="dcterms:W3CDTF">2017-12-25T21:04:00Z</dcterms:created>
  <dcterms:modified xsi:type="dcterms:W3CDTF">2017-12-25T21:06:00Z</dcterms:modified>
</cp:coreProperties>
</file>