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E3" w:rsidRPr="000E1BE3" w:rsidRDefault="000E1BE3" w:rsidP="000E1BE3">
      <w:pPr>
        <w:spacing w:line="240" w:lineRule="auto"/>
        <w:jc w:val="center"/>
        <w:rPr>
          <w:rFonts w:eastAsia="Times New Roman" w:cs="Times New Roman"/>
          <w:szCs w:val="24"/>
          <w:lang w:eastAsia="es-CO"/>
        </w:rPr>
      </w:pPr>
      <w:r w:rsidRPr="000E1BE3">
        <w:rPr>
          <w:rFonts w:eastAsia="Times New Roman" w:cs="Times New Roman"/>
          <w:b/>
          <w:bCs/>
          <w:szCs w:val="24"/>
          <w:lang w:eastAsia="es-CO"/>
        </w:rPr>
        <w:t>OFICIO Nº 027529</w:t>
      </w:r>
    </w:p>
    <w:p w:rsidR="000E1BE3" w:rsidRPr="000E1BE3" w:rsidRDefault="000E1BE3" w:rsidP="000E1BE3">
      <w:pPr>
        <w:spacing w:line="240" w:lineRule="auto"/>
        <w:jc w:val="center"/>
        <w:rPr>
          <w:rFonts w:eastAsia="Times New Roman" w:cs="Times New Roman"/>
          <w:szCs w:val="24"/>
          <w:lang w:eastAsia="es-CO"/>
        </w:rPr>
      </w:pPr>
      <w:r w:rsidRPr="000E1BE3">
        <w:rPr>
          <w:rFonts w:eastAsia="Times New Roman" w:cs="Times New Roman"/>
          <w:b/>
          <w:bCs/>
          <w:szCs w:val="24"/>
          <w:lang w:eastAsia="es-CO"/>
        </w:rPr>
        <w:t>10-10-2017</w:t>
      </w:r>
    </w:p>
    <w:p w:rsidR="000E1BE3" w:rsidRPr="000E1BE3" w:rsidRDefault="000E1BE3" w:rsidP="000E1BE3">
      <w:pPr>
        <w:spacing w:line="240" w:lineRule="auto"/>
        <w:jc w:val="center"/>
        <w:rPr>
          <w:rFonts w:eastAsia="Times New Roman" w:cs="Times New Roman"/>
          <w:szCs w:val="24"/>
          <w:lang w:eastAsia="es-CO"/>
        </w:rPr>
      </w:pPr>
      <w:r w:rsidRPr="000E1BE3">
        <w:rPr>
          <w:rFonts w:eastAsia="Times New Roman" w:cs="Times New Roman"/>
          <w:b/>
          <w:bCs/>
          <w:szCs w:val="24"/>
          <w:lang w:eastAsia="es-CO"/>
        </w:rPr>
        <w:t>DIAN</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Subdirección de Gestión y Normativa y Doctrina</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Bogotá, D.C.</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100208221 001601</w:t>
      </w:r>
      <w:bookmarkStart w:id="0" w:name="_GoBack"/>
      <w:bookmarkEnd w:id="0"/>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Señora:</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LENNY MARGOT PACHECO COGOLLO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Tv 1 # 24 – 78</w:t>
      </w:r>
    </w:p>
    <w:p w:rsidR="000E1BE3" w:rsidRPr="000E1BE3" w:rsidRDefault="000E1BE3" w:rsidP="000E1BE3">
      <w:pPr>
        <w:spacing w:line="240" w:lineRule="auto"/>
        <w:rPr>
          <w:rFonts w:eastAsia="Times New Roman" w:cs="Times New Roman"/>
          <w:szCs w:val="24"/>
          <w:lang w:eastAsia="es-CO"/>
        </w:rPr>
      </w:pPr>
      <w:hyperlink r:id="rId4" w:history="1">
        <w:proofErr w:type="spellStart"/>
        <w:r w:rsidRPr="000E1BE3">
          <w:rPr>
            <w:rFonts w:eastAsia="Times New Roman" w:cs="Times New Roman"/>
            <w:szCs w:val="24"/>
            <w:lang w:eastAsia="es-CO"/>
          </w:rPr>
          <w:t>lenypc@live.com</w:t>
        </w:r>
        <w:proofErr w:type="spellEnd"/>
      </w:hyperlink>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Caucasia – Antioquia</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proofErr w:type="spellStart"/>
      <w:r w:rsidRPr="000E1BE3">
        <w:rPr>
          <w:rFonts w:eastAsia="Times New Roman" w:cs="Times New Roman"/>
          <w:b/>
          <w:bCs/>
          <w:szCs w:val="24"/>
          <w:lang w:eastAsia="es-CO"/>
        </w:rPr>
        <w:t>Ref</w:t>
      </w:r>
      <w:proofErr w:type="spellEnd"/>
      <w:r w:rsidRPr="000E1BE3">
        <w:rPr>
          <w:rFonts w:eastAsia="Times New Roman" w:cs="Times New Roman"/>
          <w:b/>
          <w:bCs/>
          <w:szCs w:val="24"/>
          <w:lang w:eastAsia="es-CO"/>
        </w:rPr>
        <w:t>:</w:t>
      </w:r>
      <w:r w:rsidRPr="000E1BE3">
        <w:rPr>
          <w:rFonts w:eastAsia="Times New Roman" w:cs="Times New Roman"/>
          <w:szCs w:val="24"/>
          <w:lang w:eastAsia="es-CO"/>
        </w:rPr>
        <w:t> Radicado 100048745 del 01/08/2017</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Tema </w:t>
      </w:r>
      <w:r w:rsidRPr="000E1BE3">
        <w:rPr>
          <w:rFonts w:eastAsia="Times New Roman" w:cs="Times New Roman"/>
          <w:szCs w:val="24"/>
          <w:lang w:eastAsia="es-CO"/>
        </w:rPr>
        <w:t>Impuesto Sobre la Renta y Complementarios</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Descriptores </w:t>
      </w:r>
      <w:r w:rsidRPr="000E1BE3">
        <w:rPr>
          <w:rFonts w:eastAsia="Times New Roman" w:cs="Times New Roman"/>
          <w:szCs w:val="24"/>
          <w:lang w:eastAsia="es-CO"/>
        </w:rPr>
        <w:t>Costos y Deducciones; Deducciones; DEPURACIÓN DE LA BASE DE CÁLCULO Y DETERMINACIÓN</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Fuentes formales </w:t>
      </w:r>
      <w:hyperlink r:id="rId5" w:tooltip="Estatuto Tributario CETA" w:history="1">
        <w:r w:rsidRPr="000E1BE3">
          <w:rPr>
            <w:rFonts w:eastAsia="Times New Roman" w:cs="Times New Roman"/>
            <w:szCs w:val="24"/>
            <w:lang w:eastAsia="es-CO"/>
          </w:rPr>
          <w:t>Artículo 341</w:t>
        </w:r>
      </w:hyperlink>
      <w:r w:rsidRPr="000E1BE3">
        <w:rPr>
          <w:rFonts w:eastAsia="Times New Roman" w:cs="Times New Roman"/>
          <w:szCs w:val="24"/>
          <w:lang w:eastAsia="es-CO"/>
        </w:rPr>
        <w:t> del Estatuto Tributario.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xml:space="preserve">Cordial saludo, Sra. </w:t>
      </w:r>
      <w:proofErr w:type="spellStart"/>
      <w:r w:rsidRPr="000E1BE3">
        <w:rPr>
          <w:rFonts w:eastAsia="Times New Roman" w:cs="Times New Roman"/>
          <w:szCs w:val="24"/>
          <w:lang w:eastAsia="es-CO"/>
        </w:rPr>
        <w:t>Leny</w:t>
      </w:r>
      <w:proofErr w:type="spellEnd"/>
      <w:r w:rsidRPr="000E1BE3">
        <w:rPr>
          <w:rFonts w:eastAsia="Times New Roman" w:cs="Times New Roman"/>
          <w:szCs w:val="24"/>
          <w:lang w:eastAsia="es-CO"/>
        </w:rPr>
        <w:t xml:space="preserve"> Margot:</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Para abordar el estudio de la consulta debe aclararse que no compete a esta dependencia conceptuar sobre los procedimientos específicos a seguir, o las actuaciones concretas por adelantar con ocasión de actos de contribuyentes o actuaciones administrativas de funcionarios, tampoco corresponde definir, desatar, dirimir, investigar o juzgar las actuaciones de los mismos frente a las administraciones de otras entidades, considerando que a esta Subdirección le corresponde absolver consultas sobre interpretación y aplicación de normas tributarias de carácter nacional, aduaneras y cambiarias.</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En este contexto se atenderá la consulta que con fundamento en el </w:t>
      </w:r>
      <w:hyperlink r:id="rId6" w:tooltip="Estatuto Tributario CETA" w:history="1">
        <w:r w:rsidRPr="000E1BE3">
          <w:rPr>
            <w:rFonts w:eastAsia="Times New Roman" w:cs="Times New Roman"/>
            <w:szCs w:val="24"/>
            <w:lang w:eastAsia="es-CO"/>
          </w:rPr>
          <w:t>artículo 341</w:t>
        </w:r>
      </w:hyperlink>
      <w:r w:rsidRPr="000E1BE3">
        <w:rPr>
          <w:rFonts w:eastAsia="Times New Roman" w:cs="Times New Roman"/>
          <w:szCs w:val="24"/>
          <w:lang w:eastAsia="es-CO"/>
        </w:rPr>
        <w:t> del Estatuto Tributario expone:</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1.- Según el </w:t>
      </w:r>
      <w:hyperlink r:id="rId7" w:tooltip="Estatuto Tributario CETA" w:history="1">
        <w:r w:rsidRPr="000E1BE3">
          <w:rPr>
            <w:rFonts w:eastAsia="Times New Roman" w:cs="Times New Roman"/>
            <w:i/>
            <w:iCs/>
            <w:szCs w:val="24"/>
            <w:lang w:eastAsia="es-CO"/>
          </w:rPr>
          <w:t>artículo 341</w:t>
        </w:r>
      </w:hyperlink>
      <w:r w:rsidRPr="000E1BE3">
        <w:rPr>
          <w:rFonts w:eastAsia="Times New Roman" w:cs="Times New Roman"/>
          <w:i/>
          <w:iCs/>
          <w:szCs w:val="24"/>
          <w:lang w:eastAsia="es-CO"/>
        </w:rPr>
        <w:t> del Estatuto Tributario podrán restarse todas las rentas exentas y deducciones imputables a la cédula de rentas exentas no laborales siempre que no excedan el diez (10%) de la renta líquida. (Ingresos-costos-gastos procedentes)</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 xml:space="preserve">Entendiendo lo anterior me pregunto, qué pasará con los costos y gastos procedentes en los comerciantes, agricultores y ganaderos, donde estos conceptos generalmente son elevados, porque son necesarios para producir ingresos, y el 10% es insignificante para tomar como </w:t>
      </w:r>
      <w:r w:rsidRPr="000E1BE3">
        <w:rPr>
          <w:rFonts w:eastAsia="Times New Roman" w:cs="Times New Roman"/>
          <w:i/>
          <w:iCs/>
          <w:szCs w:val="24"/>
          <w:lang w:eastAsia="es-CO"/>
        </w:rPr>
        <w:lastRenderedPageBreak/>
        <w:t>deducción, lo que acarrearía impuestos demasiados altos que acarrearía pérdidas recurrentes en las actividades económicas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Pregunto, este artículo va a ser reglamentado, y si es así para cuándo, ya que van corridos 7 meses del año gravable del cual se aplicará la norma”</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i/>
          <w:iCs/>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El tenor literal de la norma dispone:</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b/>
          <w:bCs/>
          <w:szCs w:val="24"/>
          <w:lang w:eastAsia="es-CO"/>
        </w:rPr>
        <w:t>“</w:t>
      </w:r>
      <w:hyperlink r:id="rId8" w:tooltip="Estatuto Tributario CETA" w:history="1">
        <w:r w:rsidRPr="000E1BE3">
          <w:rPr>
            <w:rFonts w:eastAsia="Times New Roman" w:cs="Times New Roman"/>
            <w:b/>
            <w:bCs/>
            <w:szCs w:val="24"/>
            <w:lang w:eastAsia="es-CO"/>
          </w:rPr>
          <w:t>ART. 341</w:t>
        </w:r>
      </w:hyperlink>
      <w:r w:rsidRPr="000E1BE3">
        <w:rPr>
          <w:rFonts w:eastAsia="Times New Roman" w:cs="Times New Roman"/>
          <w:b/>
          <w:bCs/>
          <w:szCs w:val="24"/>
          <w:lang w:eastAsia="es-CO"/>
        </w:rPr>
        <w:t>.</w:t>
      </w:r>
      <w:r w:rsidRPr="000E1BE3">
        <w:rPr>
          <w:rFonts w:eastAsia="Times New Roman" w:cs="Times New Roman"/>
          <w:szCs w:val="24"/>
          <w:lang w:eastAsia="es-CO"/>
        </w:rPr>
        <w:t> Artículo modificado por la Ley 1819 de 2016, art. 1º. </w:t>
      </w:r>
      <w:r w:rsidRPr="000E1BE3">
        <w:rPr>
          <w:rFonts w:eastAsia="Times New Roman" w:cs="Times New Roman"/>
          <w:b/>
          <w:bCs/>
          <w:szCs w:val="24"/>
          <w:lang w:eastAsia="es-CO"/>
        </w:rPr>
        <w:t>Renta líquida cedular de las rentas no laborales.</w:t>
      </w:r>
      <w:r w:rsidRPr="000E1BE3">
        <w:rPr>
          <w:rFonts w:eastAsia="Times New Roman" w:cs="Times New Roman"/>
          <w:szCs w:val="24"/>
          <w:lang w:eastAsia="es-CO"/>
        </w:rPr>
        <w:t> Para efectos de establecer la renta líquida correspondiente a las rentas no laborales, del valor total de los ingresos de esta cédula se restarán los ingresos no constitutivos de renta, y los costos y gastos procedentes y debidamente soportados por el contribuyente.</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szCs w:val="24"/>
          <w:lang w:eastAsia="es-CO"/>
        </w:rPr>
        <w:t>Podrán restarse todas </w:t>
      </w:r>
      <w:r w:rsidRPr="000E1BE3">
        <w:rPr>
          <w:rFonts w:eastAsia="Times New Roman" w:cs="Times New Roman"/>
          <w:szCs w:val="24"/>
          <w:u w:val="single"/>
          <w:lang w:eastAsia="es-CO"/>
        </w:rPr>
        <w:t>las rentas exentas y deducciones imputables a esta cédula</w:t>
      </w:r>
      <w:r w:rsidRPr="000E1BE3">
        <w:rPr>
          <w:rFonts w:eastAsia="Times New Roman" w:cs="Times New Roman"/>
          <w:szCs w:val="24"/>
          <w:lang w:eastAsia="es-CO"/>
        </w:rPr>
        <w:t>, siempre que no excedan el diez (10%) del resultado del inciso anterior, que en todo caso no puede exceder mil (1.000) UVT.</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ind w:left="180"/>
        <w:rPr>
          <w:rFonts w:eastAsia="Times New Roman" w:cs="Times New Roman"/>
          <w:szCs w:val="24"/>
          <w:lang w:eastAsia="es-CO"/>
        </w:rPr>
      </w:pPr>
      <w:r w:rsidRPr="000E1BE3">
        <w:rPr>
          <w:rFonts w:eastAsia="Times New Roman" w:cs="Times New Roman"/>
          <w:b/>
          <w:bCs/>
          <w:szCs w:val="24"/>
          <w:lang w:eastAsia="es-CO"/>
        </w:rPr>
        <w:t>PAR.</w:t>
      </w:r>
      <w:r w:rsidRPr="000E1BE3">
        <w:rPr>
          <w:rFonts w:eastAsia="Times New Roman" w:cs="Times New Roman"/>
          <w:szCs w:val="24"/>
          <w:lang w:eastAsia="es-CO"/>
        </w:rPr>
        <w:t> </w:t>
      </w:r>
      <w:r w:rsidRPr="000E1BE3">
        <w:rPr>
          <w:rFonts w:eastAsia="Times New Roman" w:cs="Times New Roman"/>
          <w:szCs w:val="24"/>
          <w:u w:val="single"/>
          <w:lang w:eastAsia="es-CO"/>
        </w:rPr>
        <w:t>En la depuración podrán ser aceptados los costos y los gastos que cumplan con los requisitos generales para su procedencia establecidos en las normas de este estatuto y que sean imputables a esta cédula.</w:t>
      </w:r>
      <w:r w:rsidRPr="000E1BE3">
        <w:rPr>
          <w:rFonts w:eastAsia="Times New Roman" w:cs="Times New Roman"/>
          <w:szCs w:val="24"/>
          <w:lang w:eastAsia="es-CO"/>
        </w:rPr>
        <w:t>”</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Sobre este particular cabe destacar que este Despacho ha manifestado que los costos y gastos de las cédulas no laborales pueden ser objeto de disminución sin límite si tienen relación de causalidad con la renta y cumplen todos los requisitos de conformidad con la regulación de las rentas cedulares y su depuración señaladas en el artículo 1° y siguientes de la Ley 1819 de 2016, y de acuerdo con la reglamentación sobre el tema que próximamente se expedirá.</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Esta interpretación considera que el aparte inicial del </w:t>
      </w:r>
      <w:hyperlink r:id="rId9" w:tooltip="Estatuto Tributario CETA" w:history="1">
        <w:r w:rsidRPr="000E1BE3">
          <w:rPr>
            <w:rFonts w:eastAsia="Times New Roman" w:cs="Times New Roman"/>
            <w:szCs w:val="24"/>
            <w:lang w:eastAsia="es-CO"/>
          </w:rPr>
          <w:t>artículo 341</w:t>
        </w:r>
      </w:hyperlink>
      <w:r w:rsidRPr="000E1BE3">
        <w:rPr>
          <w:rFonts w:eastAsia="Times New Roman" w:cs="Times New Roman"/>
          <w:szCs w:val="24"/>
          <w:lang w:eastAsia="es-CO"/>
        </w:rPr>
        <w:t> transcrito cuando hace referencia a la limitación del 10% para rentas exentas y deducciones está aludiendo solamente a las expresas situaciones que constituyen beneficios tributarios y no a todas las deducciones en su conjunto.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Es decir, que los costos y gastos que cumplan con las condiciones de causalidad, necesidad y proporcionalidad que hacen parte de las deducciones en sentido general conforme lo regulado en el </w:t>
      </w:r>
      <w:hyperlink r:id="rId10" w:tooltip="Estatuto Tributario CETA" w:history="1">
        <w:r w:rsidRPr="000E1BE3">
          <w:rPr>
            <w:rFonts w:eastAsia="Times New Roman" w:cs="Times New Roman"/>
            <w:szCs w:val="24"/>
            <w:lang w:eastAsia="es-CO"/>
          </w:rPr>
          <w:t>artículo 107</w:t>
        </w:r>
      </w:hyperlink>
      <w:r w:rsidRPr="000E1BE3">
        <w:rPr>
          <w:rFonts w:eastAsia="Times New Roman" w:cs="Times New Roman"/>
          <w:szCs w:val="24"/>
          <w:lang w:eastAsia="es-CO"/>
        </w:rPr>
        <w:t> del Estatuto Tributario, no estarían cobijados por esta limitación, dado que estos no tienen el trato de beneficio tributario, sino que hacen parte de las erogaciones o expensas necesarias para el desarrollo de la actividad económica.</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Sobre este y otros temas relacionados este Despacho se manifestó en los Oficios 004884 de 24 de febrero, 900191 de 28 de febrero y 900868 de 2 de marzo de 2017, de los cuales se remite copia para su conocimiento.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2.- Sobre el tema de la reglamentación es oportuno informar que se encuentra en trámite Proyecto de Decreto que reglamenta el régimen de las personas naturales modificado por la Ley 1819 de 2016 por parte del Ministerio de Hacienda. Dicha entidad informó a la ciudadanía que se encuentra publicado en el home de la página web y en la Sección Normativa del 1 al 16 de junio de 2017, el Proyecto de Decreto para comentarios, “Por el cual se modifica y adiciona el Decreto 1625 de 2016 Único Reglamentario en Materia Tributaria, para reglamentar la Parte I de la Ley 1819 de 2016".</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Por tal razón, está pendiente el resultado definitivo de dicho acto administrativo.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Atentamente,</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lastRenderedPageBreak/>
        <w:t> </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b/>
          <w:bCs/>
          <w:szCs w:val="24"/>
          <w:lang w:eastAsia="es-CO"/>
        </w:rPr>
        <w:t>PEDRO PABLO CONTRERAS CAMARGO</w:t>
      </w:r>
    </w:p>
    <w:p w:rsidR="000E1BE3" w:rsidRPr="000E1BE3" w:rsidRDefault="000E1BE3" w:rsidP="000E1BE3">
      <w:pPr>
        <w:spacing w:line="240" w:lineRule="auto"/>
        <w:rPr>
          <w:rFonts w:eastAsia="Times New Roman" w:cs="Times New Roman"/>
          <w:szCs w:val="24"/>
          <w:lang w:eastAsia="es-CO"/>
        </w:rPr>
      </w:pPr>
      <w:r w:rsidRPr="000E1BE3">
        <w:rPr>
          <w:rFonts w:eastAsia="Times New Roman" w:cs="Times New Roman"/>
          <w:szCs w:val="24"/>
          <w:lang w:eastAsia="es-CO"/>
        </w:rPr>
        <w:t>Subdirector de Gestión Normativa y Doctrina</w:t>
      </w:r>
    </w:p>
    <w:p w:rsidR="00961BFA" w:rsidRPr="000E1BE3" w:rsidRDefault="00961BFA">
      <w:pPr>
        <w:rPr>
          <w:rFonts w:cs="Times New Roman"/>
          <w:szCs w:val="24"/>
        </w:rPr>
      </w:pPr>
    </w:p>
    <w:sectPr w:rsidR="00961BFA" w:rsidRPr="000E1BE3"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E3"/>
    <w:rsid w:val="000E1BE3"/>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5F0E-7192-43D0-A058-EF161E0E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0" TargetMode="External"/><Relationship Id="rId11" Type="http://schemas.openxmlformats.org/officeDocument/2006/relationships/fontTable" Target="fontTable.xml"/><Relationship Id="rId5" Type="http://schemas.openxmlformats.org/officeDocument/2006/relationships/hyperlink" Target="https://www.ceta.org.co/html/vista_de_un_articulo.asp?Norma=420" TargetMode="External"/><Relationship Id="rId10" Type="http://schemas.openxmlformats.org/officeDocument/2006/relationships/hyperlink" Target="https://www.ceta.org.co/html/vista_de_un_articulo.asp?Norma=155" TargetMode="External"/><Relationship Id="rId4" Type="http://schemas.openxmlformats.org/officeDocument/2006/relationships/hyperlink" Target="mailto:lenypc@live.com" TargetMode="External"/><Relationship Id="rId9" Type="http://schemas.openxmlformats.org/officeDocument/2006/relationships/hyperlink" Target="https://www.ceta.org.co/html/vista_de_un_articulo.asp?Norma=4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2017-12-25T21:01:00Z</dcterms:created>
  <dcterms:modified xsi:type="dcterms:W3CDTF">2017-12-25T21:02:00Z</dcterms:modified>
</cp:coreProperties>
</file>