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fldChar w:fldCharType="begin"/>
      </w:r>
      <w:r w:rsidRPr="001F0D82">
        <w:rPr>
          <w:rFonts w:cs="Times New Roman"/>
          <w:szCs w:val="24"/>
        </w:rPr>
        <w:instrText>PRIVATE</w:instrText>
      </w:r>
      <w:r w:rsidRPr="001F0D82">
        <w:rPr>
          <w:rFonts w:cs="Times New Roman"/>
          <w:szCs w:val="24"/>
        </w:rPr>
        <w:fldChar w:fldCharType="end"/>
      </w:r>
      <w:r w:rsidRPr="001F0D82">
        <w:rPr>
          <w:rFonts w:cs="Times New Roman"/>
          <w:szCs w:val="24"/>
        </w:rPr>
        <w:fldChar w:fldCharType="begin"/>
      </w:r>
      <w:r w:rsidRPr="001F0D82">
        <w:rPr>
          <w:rFonts w:cs="Times New Roman"/>
          <w:szCs w:val="24"/>
        </w:rPr>
        <w:instrText>PRIVATE "TYPE=PICT;ALT=TrnB"</w:instrText>
      </w:r>
      <w:r w:rsidRPr="001F0D82">
        <w:rPr>
          <w:rFonts w:cs="Times New Roman"/>
          <w:szCs w:val="24"/>
        </w:rPr>
        <w:fldChar w:fldCharType="end"/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1F0D82">
        <w:rPr>
          <w:rFonts w:cs="Times New Roman"/>
          <w:b/>
          <w:szCs w:val="24"/>
        </w:rPr>
        <w:t>OFICIO Nº 021942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1F0D82">
        <w:rPr>
          <w:rFonts w:cs="Times New Roman"/>
          <w:b/>
          <w:szCs w:val="24"/>
        </w:rPr>
        <w:t>16-08-2017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1F0D82">
        <w:rPr>
          <w:rFonts w:cs="Times New Roman"/>
          <w:b/>
          <w:szCs w:val="24"/>
        </w:rPr>
        <w:t>DIAN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Subdirección de Gestión Normativa y Doctrina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Bogotá D.C.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Señor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JORGE IVÁN JIMÉNEZ JARAMILLO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Envigado (Antioquia)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Ref.: Radicado No. 100032967 del 23 de mayo de 2017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Cordial saludo, Sr. Jiménez Jaramillo: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De conformidad con el artículo 20 del Decreto 4048 de 2008 es función de esta Subdirección absolver las consultas escritas que se formulen sobre la interpretación y aplicación de las normas tributarias de carácter nacional, aduaneras y cambiarias en lo de competencia de la Entidad.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 xml:space="preserve">Mediante el radicado de la referencia formula unas preguntas relativas al </w:t>
      </w:r>
      <w:hyperlink r:id="rId4" w:history="1">
        <w:r w:rsidRPr="001F0D82">
          <w:rPr>
            <w:rFonts w:cs="Times New Roman"/>
            <w:szCs w:val="24"/>
            <w:u w:val="single"/>
          </w:rPr>
          <w:t>artículo 137</w:t>
        </w:r>
      </w:hyperlink>
      <w:r w:rsidRPr="001F0D82">
        <w:rPr>
          <w:rFonts w:cs="Times New Roman"/>
          <w:szCs w:val="24"/>
        </w:rPr>
        <w:t xml:space="preserve"> del Estatuto Tributario, las cuales se resolverán cada una en su orden, así: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F0D82" w:rsidRPr="00377D6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377D62">
        <w:rPr>
          <w:rFonts w:cs="Times New Roman"/>
          <w:b/>
          <w:szCs w:val="24"/>
        </w:rPr>
        <w:t>1. ¿Qué ocurre si el contribuyente no cuenta con soportes de la vida útil de los activos fijos depreciables para efectos fiscales?</w:t>
      </w:r>
    </w:p>
    <w:p w:rsidR="001F0D82" w:rsidRPr="00377D6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 xml:space="preserve">Si el contribuyente no cuenta con soportes de vida útil de los activos depreciables, como pueden ser estudios técnicos, manuales de uso o informes, entre otros, resulta apropiado recordar que para efectos fiscales también son admisibles los documentos probatorios elaborados por un experto en la materia, de acuerdo con el inciso 2 del parágrafo 2º del </w:t>
      </w:r>
      <w:hyperlink r:id="rId5" w:history="1">
        <w:r w:rsidRPr="001F0D82">
          <w:rPr>
            <w:rFonts w:cs="Times New Roman"/>
            <w:szCs w:val="24"/>
            <w:u w:val="single"/>
          </w:rPr>
          <w:t>artículo 137</w:t>
        </w:r>
      </w:hyperlink>
      <w:r w:rsidRPr="001F0D82">
        <w:rPr>
          <w:rFonts w:cs="Times New Roman"/>
          <w:szCs w:val="24"/>
        </w:rPr>
        <w:t xml:space="preserve"> del Estatuto Tributario.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De manera que, para hacer uso de la deducción por depreciación, el contribuyente puede acudir a esta última alternativa.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F0D82" w:rsidRPr="00377D6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377D62">
        <w:rPr>
          <w:rFonts w:cs="Times New Roman"/>
          <w:b/>
          <w:szCs w:val="24"/>
        </w:rPr>
        <w:t xml:space="preserve">2. ¿Lo previsto en el inciso 2 del parágrafo 2º del </w:t>
      </w:r>
      <w:hyperlink r:id="rId6" w:history="1">
        <w:r w:rsidRPr="00377D62">
          <w:rPr>
            <w:rFonts w:cs="Times New Roman"/>
            <w:b/>
            <w:szCs w:val="24"/>
            <w:u w:val="single"/>
          </w:rPr>
          <w:t>artículo 137</w:t>
        </w:r>
      </w:hyperlink>
      <w:r w:rsidRPr="00377D62">
        <w:rPr>
          <w:rFonts w:cs="Times New Roman"/>
          <w:b/>
          <w:szCs w:val="24"/>
        </w:rPr>
        <w:t xml:space="preserve"> ibídem aplica para todos los activos fijos depreciables, independientemente de su valor?</w:t>
      </w:r>
    </w:p>
    <w:p w:rsidR="001F0D82" w:rsidRPr="00377D6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El artículo 1.2.1.18.5 del Decreto 1625 de 2016 dispone que “a partir del año gravable de 1990, los activos fijos depreciables adquiridos a partir de dicho año, cuyo valor de adquisición sea igual o inferior a cincuenta (50) UVT, podrán depreciarse en el mismo año en que se adquieran, sin consideración a la vida útil de los mismos.” (</w:t>
      </w:r>
      <w:proofErr w:type="gramStart"/>
      <w:r w:rsidRPr="001F0D82">
        <w:rPr>
          <w:rFonts w:cs="Times New Roman"/>
          <w:szCs w:val="24"/>
        </w:rPr>
        <w:t>negrilla</w:t>
      </w:r>
      <w:proofErr w:type="gramEnd"/>
      <w:r w:rsidRPr="001F0D82">
        <w:rPr>
          <w:rFonts w:cs="Times New Roman"/>
          <w:szCs w:val="24"/>
        </w:rPr>
        <w:t xml:space="preserve"> fuera de texto).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F0D82" w:rsidRPr="00377D6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377D62">
        <w:rPr>
          <w:rFonts w:cs="Times New Roman"/>
          <w:b/>
          <w:szCs w:val="24"/>
        </w:rPr>
        <w:t xml:space="preserve">Por tanto, es de colegir que lo previsto en el inciso 2 del parágrafo 2º del </w:t>
      </w:r>
      <w:hyperlink r:id="rId7" w:history="1">
        <w:r w:rsidRPr="00377D62">
          <w:rPr>
            <w:rFonts w:cs="Times New Roman"/>
            <w:b/>
            <w:szCs w:val="24"/>
            <w:u w:val="single"/>
          </w:rPr>
          <w:t>artículo 137</w:t>
        </w:r>
      </w:hyperlink>
      <w:r w:rsidRPr="00377D62">
        <w:rPr>
          <w:rFonts w:cs="Times New Roman"/>
          <w:b/>
          <w:szCs w:val="24"/>
        </w:rPr>
        <w:t xml:space="preserve"> ibídem sólo es predicable de los activos fijos depreciables cuyo valor de adquisición sea superior a 50 UVT.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F0D82" w:rsidRPr="004D119A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4D119A">
        <w:rPr>
          <w:rFonts w:cs="Times New Roman"/>
          <w:b/>
          <w:szCs w:val="24"/>
        </w:rPr>
        <w:t>3. ¿Qué características, calidades y/o cualidades debe tener una persona para ser considerado “experto en la materia”? ¿Qué información deben contener los documentos probatorios elaborados por un experto en la materia?</w:t>
      </w:r>
    </w:p>
    <w:p w:rsidR="001F0D82" w:rsidRPr="004D119A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bookmarkStart w:id="0" w:name="_GoBack"/>
      <w:bookmarkEnd w:id="0"/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lastRenderedPageBreak/>
        <w:t>La normativa tributaria en la actualidad no señala nada respecto a las características, calidades y/o cualidades que debe reunir un experto en la materia, ni la información que deben contener los documentos probatorios elaborados por el mismo.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Ahora bien, sin perjuicio de la facultad reglamentaria en cabeza del Gobierno Nacional, por experto en la materia habrá de entenderse aquella persona “práctica o experimentada en algo” o “especializada o con grandes conocimientos en una materia”, con base en lo indicado en el artículo 28 del Código Civil (las palabras de la ley se entenderán en su sentido natural y obvio).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Atentamente,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PEDRO PABLO CONTRERAS CAMARGO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Subdirector de Gestión Normativa y Doctrina</w:t>
      </w:r>
    </w:p>
    <w:p w:rsidR="001F0D82" w:rsidRPr="001F0D82" w:rsidRDefault="001F0D82" w:rsidP="00377D6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1F0D82">
        <w:rPr>
          <w:rFonts w:cs="Times New Roman"/>
          <w:szCs w:val="24"/>
        </w:rPr>
        <w:t>______________________________________________________________________________</w:t>
      </w:r>
    </w:p>
    <w:p w:rsidR="00961BFA" w:rsidRPr="001F0D82" w:rsidRDefault="00961BFA" w:rsidP="00377D62">
      <w:pPr>
        <w:spacing w:line="240" w:lineRule="auto"/>
      </w:pPr>
    </w:p>
    <w:sectPr w:rsidR="00961BFA" w:rsidRPr="001F0D82" w:rsidSect="00F01316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82"/>
    <w:rsid w:val="001F0D82"/>
    <w:rsid w:val="0029351E"/>
    <w:rsid w:val="00377D62"/>
    <w:rsid w:val="004D119A"/>
    <w:rsid w:val="00961BFA"/>
    <w:rsid w:val="00B94BED"/>
    <w:rsid w:val="00E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C9E009-E823-45C0-B853-384BD0E4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F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vista_de_un_articulo.asp?Norma=1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ista_de_un_articulo.asp?Norma=199" TargetMode="External"/><Relationship Id="rId5" Type="http://schemas.openxmlformats.org/officeDocument/2006/relationships/hyperlink" Target="vista_de_un_articulo.asp?Norma=199" TargetMode="External"/><Relationship Id="rId4" Type="http://schemas.openxmlformats.org/officeDocument/2006/relationships/hyperlink" Target="vista_de_un_articulo.asp?Norma=1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4</cp:revision>
  <dcterms:created xsi:type="dcterms:W3CDTF">2017-10-21T15:23:00Z</dcterms:created>
  <dcterms:modified xsi:type="dcterms:W3CDTF">2017-10-22T17:32:00Z</dcterms:modified>
</cp:coreProperties>
</file>