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A04" w:rsidRPr="00A91A04" w:rsidRDefault="00A91A04" w:rsidP="00A91A04">
      <w:pPr>
        <w:autoSpaceDE w:val="0"/>
        <w:autoSpaceDN w:val="0"/>
        <w:adjustRightInd w:val="0"/>
        <w:spacing w:before="100" w:after="100" w:line="240" w:lineRule="auto"/>
        <w:jc w:val="center"/>
        <w:rPr>
          <w:rFonts w:cs="Times New Roman"/>
          <w:b/>
          <w:szCs w:val="24"/>
        </w:rPr>
      </w:pPr>
      <w:r w:rsidRPr="00A91A04">
        <w:rPr>
          <w:rFonts w:cs="Times New Roman"/>
          <w:b/>
          <w:szCs w:val="24"/>
        </w:rPr>
        <w:t>OFICIO Nº 021937</w:t>
      </w:r>
    </w:p>
    <w:p w:rsidR="00A91A04" w:rsidRPr="00A91A04" w:rsidRDefault="00A91A04" w:rsidP="00A91A04">
      <w:pPr>
        <w:autoSpaceDE w:val="0"/>
        <w:autoSpaceDN w:val="0"/>
        <w:adjustRightInd w:val="0"/>
        <w:spacing w:before="100" w:after="100" w:line="240" w:lineRule="auto"/>
        <w:jc w:val="center"/>
        <w:rPr>
          <w:rFonts w:cs="Times New Roman"/>
          <w:b/>
          <w:szCs w:val="24"/>
        </w:rPr>
      </w:pPr>
      <w:r w:rsidRPr="00A91A04">
        <w:rPr>
          <w:rFonts w:cs="Times New Roman"/>
          <w:b/>
          <w:szCs w:val="24"/>
        </w:rPr>
        <w:t>16-08-2017</w:t>
      </w:r>
    </w:p>
    <w:p w:rsidR="00A91A04" w:rsidRPr="00A91A04" w:rsidRDefault="00A91A04" w:rsidP="00A91A04">
      <w:pPr>
        <w:autoSpaceDE w:val="0"/>
        <w:autoSpaceDN w:val="0"/>
        <w:adjustRightInd w:val="0"/>
        <w:spacing w:before="100" w:after="100" w:line="240" w:lineRule="auto"/>
        <w:jc w:val="center"/>
        <w:rPr>
          <w:rFonts w:cs="Times New Roman"/>
          <w:b/>
          <w:szCs w:val="24"/>
        </w:rPr>
      </w:pPr>
      <w:r w:rsidRPr="00A91A04">
        <w:rPr>
          <w:rFonts w:cs="Times New Roman"/>
          <w:b/>
          <w:szCs w:val="24"/>
        </w:rPr>
        <w:t>DIAN</w:t>
      </w:r>
    </w:p>
    <w:p w:rsidR="00A91A04" w:rsidRPr="00A91A04" w:rsidRDefault="00A91A04" w:rsidP="00A91A04">
      <w:pPr>
        <w:autoSpaceDE w:val="0"/>
        <w:autoSpaceDN w:val="0"/>
        <w:adjustRightInd w:val="0"/>
        <w:spacing w:before="100" w:after="100" w:line="240" w:lineRule="auto"/>
        <w:rPr>
          <w:rFonts w:cs="Times New Roman"/>
          <w:szCs w:val="24"/>
        </w:rPr>
      </w:pPr>
    </w:p>
    <w:p w:rsidR="00A91A04" w:rsidRPr="00A91A04" w:rsidRDefault="00A91A04" w:rsidP="00A91A04">
      <w:pPr>
        <w:autoSpaceDE w:val="0"/>
        <w:autoSpaceDN w:val="0"/>
        <w:adjustRightInd w:val="0"/>
        <w:spacing w:before="100" w:after="100" w:line="240" w:lineRule="auto"/>
        <w:rPr>
          <w:rFonts w:cs="Times New Roman"/>
          <w:szCs w:val="24"/>
        </w:rPr>
      </w:pP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Subdirección de Gestión Normativa y Doctrina</w:t>
      </w: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Bogotá D.C.</w:t>
      </w: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100208221- 001283</w:t>
      </w:r>
    </w:p>
    <w:p w:rsidR="00A91A04" w:rsidRPr="00A91A04" w:rsidRDefault="00A91A04" w:rsidP="00A91A04">
      <w:pPr>
        <w:autoSpaceDE w:val="0"/>
        <w:autoSpaceDN w:val="0"/>
        <w:adjustRightInd w:val="0"/>
        <w:spacing w:before="100" w:after="100" w:line="240" w:lineRule="auto"/>
        <w:rPr>
          <w:rFonts w:cs="Times New Roman"/>
          <w:szCs w:val="24"/>
        </w:rPr>
      </w:pP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Señor</w:t>
      </w: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SEBASTIÁN ZAPATA RINCÓN</w:t>
      </w: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Carrera 43A #16A Sur – 38 Edificio DHL Oficina 1205</w:t>
      </w: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Medellín (Antioquia)</w:t>
      </w: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Ref.: Radicado No. 100037644 del 12 de junio de 2017</w:t>
      </w:r>
    </w:p>
    <w:p w:rsidR="00A91A04" w:rsidRPr="00A91A04" w:rsidRDefault="00A91A04" w:rsidP="00A91A04">
      <w:pPr>
        <w:autoSpaceDE w:val="0"/>
        <w:autoSpaceDN w:val="0"/>
        <w:adjustRightInd w:val="0"/>
        <w:spacing w:before="100" w:after="100" w:line="240" w:lineRule="auto"/>
        <w:rPr>
          <w:rFonts w:cs="Times New Roman"/>
          <w:szCs w:val="24"/>
        </w:rPr>
      </w:pP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Cordial saludo, Sr. Zapata Rincón:</w:t>
      </w:r>
    </w:p>
    <w:p w:rsidR="00A91A04" w:rsidRPr="00A91A04" w:rsidRDefault="00A91A04" w:rsidP="00A91A04">
      <w:pPr>
        <w:autoSpaceDE w:val="0"/>
        <w:autoSpaceDN w:val="0"/>
        <w:adjustRightInd w:val="0"/>
        <w:spacing w:before="100" w:after="100" w:line="240" w:lineRule="auto"/>
        <w:rPr>
          <w:rFonts w:cs="Times New Roman"/>
          <w:szCs w:val="24"/>
        </w:rPr>
      </w:pP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A91A04" w:rsidRPr="00A91A04" w:rsidRDefault="00A91A04" w:rsidP="00A91A04">
      <w:pPr>
        <w:autoSpaceDE w:val="0"/>
        <w:autoSpaceDN w:val="0"/>
        <w:adjustRightInd w:val="0"/>
        <w:spacing w:before="100" w:after="100" w:line="240" w:lineRule="auto"/>
        <w:rPr>
          <w:rFonts w:cs="Times New Roman"/>
          <w:szCs w:val="24"/>
        </w:rPr>
      </w:pP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Mediante el radicado de la referencia formula unas preguntas relativas al contrato de cuentas en participación y sus implicaciones en materia del impuesto sobre la renta y complementarios, las cuales se resolverán cada una a su turno:</w:t>
      </w:r>
    </w:p>
    <w:p w:rsidR="00CE6BBB" w:rsidRDefault="00CE6BBB" w:rsidP="00A91A04">
      <w:pPr>
        <w:autoSpaceDE w:val="0"/>
        <w:autoSpaceDN w:val="0"/>
        <w:adjustRightInd w:val="0"/>
        <w:spacing w:before="100" w:after="100" w:line="240" w:lineRule="auto"/>
        <w:rPr>
          <w:rFonts w:cs="Times New Roman"/>
          <w:szCs w:val="24"/>
        </w:rPr>
      </w:pP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1. “¿La certificación de la información fiscal y financiera del contrato de cuentas en participación que expide el partícipe gestor en favor del partícipe oculto suple la obligación de este último de registrar los activos, pasivos, ingresos, costos y gastos incurridos en desarrollo del contrato de cuentas en participación?”.</w:t>
      </w:r>
    </w:p>
    <w:p w:rsidR="00A91A04" w:rsidRPr="00A91A04" w:rsidRDefault="00A91A04" w:rsidP="00A91A04">
      <w:pPr>
        <w:autoSpaceDE w:val="0"/>
        <w:autoSpaceDN w:val="0"/>
        <w:adjustRightInd w:val="0"/>
        <w:spacing w:before="100" w:after="100" w:line="240" w:lineRule="auto"/>
        <w:rPr>
          <w:rFonts w:cs="Times New Roman"/>
          <w:szCs w:val="24"/>
        </w:rPr>
      </w:pP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 xml:space="preserve">El </w:t>
      </w:r>
      <w:hyperlink r:id="rId4" w:history="1">
        <w:r w:rsidRPr="00A91A04">
          <w:rPr>
            <w:rFonts w:cs="Times New Roman"/>
            <w:szCs w:val="24"/>
            <w:u w:val="single"/>
          </w:rPr>
          <w:t>artículo 18</w:t>
        </w:r>
      </w:hyperlink>
      <w:r w:rsidRPr="00A91A04">
        <w:rPr>
          <w:rFonts w:cs="Times New Roman"/>
          <w:szCs w:val="24"/>
        </w:rPr>
        <w:t xml:space="preserve"> del Estatuto Tributario señala en materia de contratos de colaboración empresarial –de los cuales hace parte el contrato de cuentas en participación- </w:t>
      </w:r>
      <w:r w:rsidRPr="007A0071">
        <w:rPr>
          <w:rFonts w:cs="Times New Roman"/>
          <w:b/>
          <w:szCs w:val="24"/>
        </w:rPr>
        <w:t>que las partes deben “declarar de manera independiente los activos, pasivos, ingresos, costos y deducciones que les correspondan, de acuerdo con su participación en los activos, pasivos, ingresos, costos y gastos incurridos en desarrollo del contrato de colaboración empresarial”</w:t>
      </w:r>
      <w:r w:rsidRPr="00A91A04">
        <w:rPr>
          <w:rFonts w:cs="Times New Roman"/>
          <w:szCs w:val="24"/>
        </w:rPr>
        <w:t xml:space="preserve"> (negrilla fuera de texto).</w:t>
      </w:r>
    </w:p>
    <w:p w:rsidR="00A91A04" w:rsidRPr="00A91A04" w:rsidRDefault="00A91A04" w:rsidP="00A91A04">
      <w:pPr>
        <w:autoSpaceDE w:val="0"/>
        <w:autoSpaceDN w:val="0"/>
        <w:adjustRightInd w:val="0"/>
        <w:spacing w:before="100" w:after="100" w:line="240" w:lineRule="auto"/>
        <w:rPr>
          <w:rFonts w:cs="Times New Roman"/>
          <w:szCs w:val="24"/>
        </w:rPr>
      </w:pPr>
    </w:p>
    <w:p w:rsidR="00A91A04" w:rsidRPr="007A0071" w:rsidRDefault="00A91A04" w:rsidP="00A91A04">
      <w:pPr>
        <w:autoSpaceDE w:val="0"/>
        <w:autoSpaceDN w:val="0"/>
        <w:adjustRightInd w:val="0"/>
        <w:spacing w:before="100" w:after="100" w:line="240" w:lineRule="auto"/>
        <w:rPr>
          <w:rFonts w:cs="Times New Roman"/>
          <w:b/>
          <w:sz w:val="28"/>
          <w:szCs w:val="28"/>
          <w:u w:val="single"/>
        </w:rPr>
      </w:pPr>
      <w:r w:rsidRPr="007A0071">
        <w:rPr>
          <w:rFonts w:cs="Times New Roman"/>
          <w:b/>
          <w:sz w:val="28"/>
          <w:szCs w:val="28"/>
        </w:rPr>
        <w:t xml:space="preserve">Así las cosas, no hay lugar a considerar que la certificación que expide el gestor a los partícipes ocultos sobre la información financiera y fiscal relacionada con el </w:t>
      </w:r>
      <w:r w:rsidRPr="007A0071">
        <w:rPr>
          <w:rFonts w:cs="Times New Roman"/>
          <w:b/>
          <w:sz w:val="28"/>
          <w:szCs w:val="28"/>
        </w:rPr>
        <w:lastRenderedPageBreak/>
        <w:t xml:space="preserve">contrato supla la obligación tributaria formal de declarar de cada una de las partes del contrato de cuentas en participación, </w:t>
      </w:r>
      <w:r w:rsidRPr="007A0071">
        <w:rPr>
          <w:rFonts w:cs="Times New Roman"/>
          <w:b/>
          <w:sz w:val="28"/>
          <w:szCs w:val="28"/>
          <w:u w:val="single"/>
        </w:rPr>
        <w:t>pues tal aseveración implicaría desconocer el régimen de transparencia incorporando a partir de la Ley 1819 de 2016 sobre la materia.</w:t>
      </w:r>
    </w:p>
    <w:p w:rsidR="00A91A04" w:rsidRPr="007A0071" w:rsidRDefault="00A91A04" w:rsidP="00A91A04">
      <w:pPr>
        <w:autoSpaceDE w:val="0"/>
        <w:autoSpaceDN w:val="0"/>
        <w:adjustRightInd w:val="0"/>
        <w:spacing w:before="100" w:after="100" w:line="240" w:lineRule="auto"/>
        <w:rPr>
          <w:rFonts w:cs="Times New Roman"/>
          <w:sz w:val="28"/>
          <w:szCs w:val="28"/>
        </w:rPr>
      </w:pP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Lo cierto es que la certificación en comento sí “hace las veces del registro sobre las actividades desarrolladas en virtud del contrato de cuentas en participación” de acuerdo con lo expresado en el parágrafo 1º del artículo 18 ibídem; registro que, en todo caso, no puede confundirse con la declaración tributaria.</w:t>
      </w:r>
    </w:p>
    <w:p w:rsidR="00A91A04" w:rsidRPr="00A91A04" w:rsidRDefault="00A91A04" w:rsidP="00A91A04">
      <w:pPr>
        <w:autoSpaceDE w:val="0"/>
        <w:autoSpaceDN w:val="0"/>
        <w:adjustRightInd w:val="0"/>
        <w:spacing w:before="100" w:after="100" w:line="240" w:lineRule="auto"/>
        <w:rPr>
          <w:rFonts w:cs="Times New Roman"/>
          <w:szCs w:val="24"/>
        </w:rPr>
      </w:pP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2. “En consecuencia, ¿el partícipe oculto sólo debe registrar un ingreso o deducción en proporción de su participación haya arrojado una utilidad o pérdida?”.</w:t>
      </w:r>
    </w:p>
    <w:p w:rsidR="00A91A04" w:rsidRPr="00A91A04" w:rsidRDefault="00A91A04" w:rsidP="00A91A04">
      <w:pPr>
        <w:autoSpaceDE w:val="0"/>
        <w:autoSpaceDN w:val="0"/>
        <w:adjustRightInd w:val="0"/>
        <w:spacing w:before="100" w:after="100" w:line="240" w:lineRule="auto"/>
        <w:rPr>
          <w:rFonts w:cs="Times New Roman"/>
          <w:szCs w:val="24"/>
        </w:rPr>
      </w:pPr>
    </w:p>
    <w:p w:rsidR="00A91A04" w:rsidRPr="00CE6BBB" w:rsidRDefault="00A91A04" w:rsidP="00A91A04">
      <w:pPr>
        <w:autoSpaceDE w:val="0"/>
        <w:autoSpaceDN w:val="0"/>
        <w:adjustRightInd w:val="0"/>
        <w:spacing w:before="100" w:after="100" w:line="240" w:lineRule="auto"/>
        <w:rPr>
          <w:rFonts w:cs="Times New Roman"/>
          <w:b/>
          <w:szCs w:val="24"/>
        </w:rPr>
      </w:pPr>
      <w:r w:rsidRPr="00CE6BBB">
        <w:rPr>
          <w:rFonts w:cs="Times New Roman"/>
          <w:b/>
          <w:szCs w:val="24"/>
        </w:rPr>
        <w:t xml:space="preserve">Como fuera indicado previamente, el partícipe oculto debe denunciar en su declaración del impuesto sobre la renta y complementarios “los activos, pasivos, ingresos, costos y deducciones que les correspondan, </w:t>
      </w:r>
      <w:r w:rsidRPr="007A0071">
        <w:rPr>
          <w:rFonts w:cs="Times New Roman"/>
          <w:b/>
          <w:szCs w:val="24"/>
          <w:u w:val="single"/>
        </w:rPr>
        <w:t>de acuerdo con su participación en los activos, pasivos, ingresos costos y gastos incurridos en desarrollo del contrato de colaboración empresarial</w:t>
      </w:r>
      <w:r w:rsidRPr="00CE6BBB">
        <w:rPr>
          <w:rFonts w:cs="Times New Roman"/>
          <w:b/>
          <w:szCs w:val="24"/>
        </w:rPr>
        <w:t>” (negrilla fuera de texto).</w:t>
      </w:r>
    </w:p>
    <w:p w:rsidR="00A91A04" w:rsidRPr="00A91A04" w:rsidRDefault="00A91A04" w:rsidP="00A91A04">
      <w:pPr>
        <w:autoSpaceDE w:val="0"/>
        <w:autoSpaceDN w:val="0"/>
        <w:adjustRightInd w:val="0"/>
        <w:spacing w:before="100" w:after="100" w:line="240" w:lineRule="auto"/>
        <w:rPr>
          <w:rFonts w:cs="Times New Roman"/>
          <w:szCs w:val="24"/>
        </w:rPr>
      </w:pP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Atentamente,</w:t>
      </w:r>
    </w:p>
    <w:p w:rsidR="00A91A04" w:rsidRP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PEDRO PABLO CONTRERAS CAMARGO</w:t>
      </w:r>
    </w:p>
    <w:p w:rsidR="00A91A04" w:rsidRDefault="00A91A04" w:rsidP="00A91A04">
      <w:pPr>
        <w:autoSpaceDE w:val="0"/>
        <w:autoSpaceDN w:val="0"/>
        <w:adjustRightInd w:val="0"/>
        <w:spacing w:before="100" w:after="100" w:line="240" w:lineRule="auto"/>
        <w:rPr>
          <w:rFonts w:cs="Times New Roman"/>
          <w:szCs w:val="24"/>
        </w:rPr>
      </w:pPr>
      <w:r w:rsidRPr="00A91A04">
        <w:rPr>
          <w:rFonts w:cs="Times New Roman"/>
          <w:szCs w:val="24"/>
        </w:rPr>
        <w:t>Subdirector de Gestión Normativa y Doctrina</w:t>
      </w:r>
    </w:p>
    <w:p w:rsidR="00CE6BBB" w:rsidRPr="00A91A04" w:rsidRDefault="00CE6BBB" w:rsidP="00A91A04">
      <w:pPr>
        <w:autoSpaceDE w:val="0"/>
        <w:autoSpaceDN w:val="0"/>
        <w:adjustRightInd w:val="0"/>
        <w:spacing w:before="100" w:after="100" w:line="240" w:lineRule="auto"/>
        <w:rPr>
          <w:rFonts w:cs="Times New Roman"/>
          <w:szCs w:val="24"/>
        </w:rPr>
      </w:pPr>
      <w:r>
        <w:rPr>
          <w:rFonts w:cs="Times New Roman"/>
          <w:szCs w:val="24"/>
        </w:rPr>
        <w:t>____________________________________________________</w:t>
      </w:r>
      <w:bookmarkStart w:id="0" w:name="_GoBack"/>
      <w:bookmarkEnd w:id="0"/>
      <w:r>
        <w:rPr>
          <w:rFonts w:cs="Times New Roman"/>
          <w:szCs w:val="24"/>
        </w:rPr>
        <w:t>__________________________</w:t>
      </w:r>
    </w:p>
    <w:p w:rsidR="00961BFA" w:rsidRPr="00A91A04" w:rsidRDefault="00961BFA" w:rsidP="00A91A04"/>
    <w:p w:rsidR="00A91A04" w:rsidRPr="00A91A04" w:rsidRDefault="00A91A04"/>
    <w:p w:rsidR="00A91A04" w:rsidRPr="00A91A04" w:rsidRDefault="00A91A04"/>
    <w:sectPr w:rsidR="00A91A04" w:rsidRPr="00A91A04" w:rsidSect="0016312E">
      <w:pgSz w:w="12240" w:h="15840" w:code="1"/>
      <w:pgMar w:top="1417" w:right="1273" w:bottom="1134" w:left="1273"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04"/>
    <w:rsid w:val="0016312E"/>
    <w:rsid w:val="0029351E"/>
    <w:rsid w:val="007A0071"/>
    <w:rsid w:val="00961BFA"/>
    <w:rsid w:val="00A91A04"/>
    <w:rsid w:val="00B94BED"/>
    <w:rsid w:val="00CE6BBB"/>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F27C3-C2DB-4099-80B6-A12826D0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A91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vista_de_un_articulo.asp?Norma=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482</Words>
  <Characters>2654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4</cp:revision>
  <dcterms:created xsi:type="dcterms:W3CDTF">2017-10-21T15:04:00Z</dcterms:created>
  <dcterms:modified xsi:type="dcterms:W3CDTF">2017-10-23T23:22:00Z</dcterms:modified>
</cp:coreProperties>
</file>