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67" w:rsidRPr="001F0967" w:rsidRDefault="001F0967" w:rsidP="001F0967">
      <w:pPr>
        <w:spacing w:line="240" w:lineRule="auto"/>
        <w:jc w:val="center"/>
        <w:rPr>
          <w:rFonts w:eastAsia="Times New Roman" w:cs="Times New Roman"/>
          <w:szCs w:val="24"/>
          <w:lang w:eastAsia="es-CO"/>
        </w:rPr>
      </w:pPr>
      <w:r w:rsidRPr="001F0967">
        <w:rPr>
          <w:rFonts w:eastAsia="Times New Roman" w:cs="Times New Roman"/>
          <w:b/>
          <w:bCs/>
          <w:szCs w:val="24"/>
          <w:lang w:eastAsia="es-CO"/>
        </w:rPr>
        <w:t>OFICIO Nº 017548</w:t>
      </w:r>
    </w:p>
    <w:p w:rsidR="001F0967" w:rsidRPr="001F0967" w:rsidRDefault="001F0967" w:rsidP="001F0967">
      <w:pPr>
        <w:spacing w:line="240" w:lineRule="auto"/>
        <w:jc w:val="center"/>
        <w:rPr>
          <w:rFonts w:eastAsia="Times New Roman" w:cs="Times New Roman"/>
          <w:szCs w:val="24"/>
          <w:lang w:eastAsia="es-CO"/>
        </w:rPr>
      </w:pPr>
      <w:r w:rsidRPr="001F0967">
        <w:rPr>
          <w:rFonts w:eastAsia="Times New Roman" w:cs="Times New Roman"/>
          <w:b/>
          <w:bCs/>
          <w:szCs w:val="24"/>
          <w:lang w:eastAsia="es-CO"/>
        </w:rPr>
        <w:t>05-07-2017</w:t>
      </w:r>
    </w:p>
    <w:p w:rsidR="001F0967" w:rsidRPr="001F0967" w:rsidRDefault="001F0967" w:rsidP="001F0967">
      <w:pPr>
        <w:spacing w:line="240" w:lineRule="auto"/>
        <w:jc w:val="center"/>
        <w:rPr>
          <w:rFonts w:eastAsia="Times New Roman" w:cs="Times New Roman"/>
          <w:szCs w:val="24"/>
          <w:lang w:eastAsia="es-CO"/>
        </w:rPr>
      </w:pPr>
      <w:r w:rsidRPr="001F0967">
        <w:rPr>
          <w:rFonts w:eastAsia="Times New Roman" w:cs="Times New Roman"/>
          <w:b/>
          <w:bCs/>
          <w:szCs w:val="24"/>
          <w:lang w:eastAsia="es-CO"/>
        </w:rPr>
        <w:t>DIAN</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bCs/>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bCs/>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Subdirección de Gestión Normativa y Doctrina</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Bogotá, D.C.</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100208221 001063</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Señor:</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bCs/>
          <w:szCs w:val="24"/>
          <w:lang w:eastAsia="es-CO"/>
        </w:rPr>
        <w:t>GUILLERMO EDUARDO ESPINEL PEÑA</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Carrera 72 152B - 89 Torre 2. Apto. 403</w:t>
      </w:r>
    </w:p>
    <w:p w:rsidR="001F0967" w:rsidRPr="001F0967" w:rsidRDefault="00A02597" w:rsidP="001F0967">
      <w:pPr>
        <w:spacing w:line="240" w:lineRule="auto"/>
        <w:rPr>
          <w:rFonts w:eastAsia="Times New Roman" w:cs="Times New Roman"/>
          <w:szCs w:val="24"/>
          <w:lang w:eastAsia="es-CO"/>
        </w:rPr>
      </w:pPr>
      <w:hyperlink r:id="rId4" w:history="1">
        <w:r w:rsidR="001F0967" w:rsidRPr="001F0967">
          <w:rPr>
            <w:rFonts w:eastAsia="Times New Roman" w:cs="Times New Roman"/>
            <w:szCs w:val="24"/>
            <w:lang w:eastAsia="es-CO"/>
          </w:rPr>
          <w:t>EDUESPINEL@HOTMAIL.COM</w:t>
        </w:r>
      </w:hyperlink>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Bogotá D.C.</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proofErr w:type="spellStart"/>
      <w:r w:rsidRPr="001F0967">
        <w:rPr>
          <w:rFonts w:eastAsia="Times New Roman" w:cs="Times New Roman"/>
          <w:b/>
          <w:bCs/>
          <w:szCs w:val="24"/>
          <w:lang w:eastAsia="es-CO"/>
        </w:rPr>
        <w:t>Ref</w:t>
      </w:r>
      <w:proofErr w:type="spellEnd"/>
      <w:r w:rsidRPr="001F0967">
        <w:rPr>
          <w:rFonts w:eastAsia="Times New Roman" w:cs="Times New Roman"/>
          <w:b/>
          <w:bCs/>
          <w:szCs w:val="24"/>
          <w:lang w:eastAsia="es-CO"/>
        </w:rPr>
        <w:t>:</w:t>
      </w:r>
      <w:r w:rsidRPr="001F0967">
        <w:rPr>
          <w:rFonts w:eastAsia="Times New Roman" w:cs="Times New Roman"/>
          <w:szCs w:val="24"/>
          <w:lang w:eastAsia="es-CO"/>
        </w:rPr>
        <w:t> Radicado 100030734 del 06/06/2017</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bCs/>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bCs/>
          <w:szCs w:val="24"/>
          <w:lang w:eastAsia="es-CO"/>
        </w:rPr>
        <w:t>Tema </w:t>
      </w:r>
      <w:r w:rsidRPr="001F0967">
        <w:rPr>
          <w:rFonts w:eastAsia="Times New Roman" w:cs="Times New Roman"/>
          <w:szCs w:val="24"/>
          <w:lang w:eastAsia="es-CO"/>
        </w:rPr>
        <w:t>Impuesto sobre la Renta y Complementarios</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bCs/>
          <w:szCs w:val="24"/>
          <w:lang w:eastAsia="es-CO"/>
        </w:rPr>
        <w:t>Descriptores </w:t>
      </w:r>
      <w:r w:rsidRPr="001F0967">
        <w:rPr>
          <w:rFonts w:eastAsia="Times New Roman" w:cs="Times New Roman"/>
          <w:szCs w:val="24"/>
          <w:lang w:eastAsia="es-CO"/>
        </w:rPr>
        <w:t>Deducción por Depreciación</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bCs/>
          <w:szCs w:val="24"/>
          <w:lang w:eastAsia="es-CO"/>
        </w:rPr>
        <w:t>Fuentes formales </w:t>
      </w:r>
      <w:hyperlink r:id="rId5" w:tooltip="Estatuto Tributario CETA" w:history="1">
        <w:r w:rsidRPr="001F0967">
          <w:rPr>
            <w:rFonts w:eastAsia="Times New Roman" w:cs="Times New Roman"/>
            <w:szCs w:val="24"/>
            <w:lang w:eastAsia="es-CO"/>
          </w:rPr>
          <w:t>Artículo 137</w:t>
        </w:r>
      </w:hyperlink>
      <w:r w:rsidRPr="001F0967">
        <w:rPr>
          <w:rFonts w:eastAsia="Times New Roman" w:cs="Times New Roman"/>
          <w:szCs w:val="24"/>
          <w:lang w:eastAsia="es-CO"/>
        </w:rPr>
        <w:t> del Estatuto Tributario modificado por el artículo 82 de la Ley 1819 de 2016; Artículo 1.2.1.18.5 del Decreto 1625 de 2016 - DUR.</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Cordial saludo, Sr. Espinel:</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Conforme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En igual sentido, los conceptos proferidos por este despacho tienen como fundamento las circunstancias presentadas en las consultas y buscan atender los supuestos de hecho y derecho expuestos en estas; por ello, se recomienda que la lectura de la doctrina se haga en forma integral para la comprensión de su alcance, el cual no debe extenderse a situaciones diferentes a las planteadas y estudiadas.</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szCs w:val="24"/>
          <w:lang w:eastAsia="es-CO"/>
        </w:rPr>
        <w:t>Hechas las observaciones, procede mencionar que la consulta se atenderá en sentido general y concierne con la aplicación del artículo 6 del Decreto 3019 de 1989 compilado en el artículo 1.2.1.18.5 del Decreto Único Reglamentario 1625 de 2016</w:t>
      </w:r>
      <w:r w:rsidRPr="001F0967">
        <w:rPr>
          <w:rFonts w:eastAsia="Times New Roman" w:cs="Times New Roman"/>
          <w:szCs w:val="24"/>
          <w:lang w:eastAsia="es-CO"/>
        </w:rPr>
        <w:t xml:space="preserve"> y las nuevas </w:t>
      </w:r>
      <w:r w:rsidRPr="001F0967">
        <w:rPr>
          <w:rFonts w:eastAsia="Times New Roman" w:cs="Times New Roman"/>
          <w:szCs w:val="24"/>
          <w:lang w:eastAsia="es-CO"/>
        </w:rPr>
        <w:lastRenderedPageBreak/>
        <w:t>definiciones de la Ley 1819 de 2016 de los activos fijos y su depreciación a que refiere el </w:t>
      </w:r>
      <w:hyperlink r:id="rId6" w:tooltip="Estatuto Tributario CETA" w:history="1">
        <w:r w:rsidRPr="001F0967">
          <w:rPr>
            <w:rFonts w:eastAsia="Times New Roman" w:cs="Times New Roman"/>
            <w:szCs w:val="24"/>
            <w:lang w:eastAsia="es-CO"/>
          </w:rPr>
          <w:t>artículo 137</w:t>
        </w:r>
      </w:hyperlink>
      <w:r w:rsidRPr="001F0967">
        <w:rPr>
          <w:rFonts w:eastAsia="Times New Roman" w:cs="Times New Roman"/>
          <w:szCs w:val="24"/>
          <w:lang w:eastAsia="es-CO"/>
        </w:rPr>
        <w:t>del Estatuto Tributario, modificado por el artículo 82 de la Ley 1819 de 2016.</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El decreto 3019 de 1989 se encargó de reglamentar los artículos </w:t>
      </w:r>
      <w:hyperlink r:id="rId7" w:tooltip="Estatuto Tributario CETA" w:history="1">
        <w:r w:rsidRPr="001F0967">
          <w:rPr>
            <w:rFonts w:eastAsia="Times New Roman" w:cs="Times New Roman"/>
            <w:szCs w:val="24"/>
            <w:lang w:eastAsia="es-CO"/>
          </w:rPr>
          <w:t>132</w:t>
        </w:r>
      </w:hyperlink>
      <w:r w:rsidRPr="001F0967">
        <w:rPr>
          <w:rFonts w:eastAsia="Times New Roman" w:cs="Times New Roman"/>
          <w:szCs w:val="24"/>
          <w:lang w:eastAsia="es-CO"/>
        </w:rPr>
        <w:t>, </w:t>
      </w:r>
      <w:hyperlink r:id="rId8" w:tooltip="Estatuto Tributario CETA" w:history="1">
        <w:r w:rsidRPr="001F0967">
          <w:rPr>
            <w:rFonts w:eastAsia="Times New Roman" w:cs="Times New Roman"/>
            <w:szCs w:val="24"/>
            <w:lang w:eastAsia="es-CO"/>
          </w:rPr>
          <w:t>137</w:t>
        </w:r>
      </w:hyperlink>
      <w:r w:rsidRPr="001F0967">
        <w:rPr>
          <w:rFonts w:eastAsia="Times New Roman" w:cs="Times New Roman"/>
          <w:szCs w:val="24"/>
          <w:lang w:eastAsia="es-CO"/>
        </w:rPr>
        <w:t> y </w:t>
      </w:r>
      <w:hyperlink r:id="rId9" w:tooltip="Estatuto Tributario CETA" w:history="1">
        <w:r w:rsidRPr="001F0967">
          <w:rPr>
            <w:rFonts w:eastAsia="Times New Roman" w:cs="Times New Roman"/>
            <w:szCs w:val="24"/>
            <w:lang w:eastAsia="es-CO"/>
          </w:rPr>
          <w:t>141</w:t>
        </w:r>
      </w:hyperlink>
      <w:r w:rsidRPr="001F0967">
        <w:rPr>
          <w:rFonts w:eastAsia="Times New Roman" w:cs="Times New Roman"/>
          <w:szCs w:val="24"/>
          <w:lang w:eastAsia="es-CO"/>
        </w:rPr>
        <w:t> del Estatuto Tributario, afirmación que se origina de la lectura del encabezado señalado en este acto administrativo, cuyo tenor literal exponía:</w:t>
      </w:r>
    </w:p>
    <w:p w:rsidR="001F0967" w:rsidRPr="001F0967" w:rsidRDefault="001F0967" w:rsidP="001F0967">
      <w:pPr>
        <w:spacing w:line="240" w:lineRule="auto"/>
        <w:ind w:left="180"/>
        <w:jc w:val="center"/>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ind w:left="180"/>
        <w:jc w:val="center"/>
        <w:rPr>
          <w:rFonts w:eastAsia="Times New Roman" w:cs="Times New Roman"/>
          <w:szCs w:val="24"/>
          <w:lang w:eastAsia="es-CO"/>
        </w:rPr>
      </w:pPr>
      <w:r w:rsidRPr="001F0967">
        <w:rPr>
          <w:rFonts w:eastAsia="Times New Roman" w:cs="Times New Roman"/>
          <w:b/>
          <w:bCs/>
          <w:szCs w:val="24"/>
          <w:lang w:eastAsia="es-CO"/>
        </w:rPr>
        <w:t>EL PRESIDENTE DE LA REPÚBLICA DE COLOMBIA,</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b/>
          <w:bCs/>
          <w:szCs w:val="24"/>
          <w:lang w:eastAsia="es-CO"/>
        </w:rPr>
        <w:t> </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en uso de las facultades constitucionales y legales, en especial de las conferidas en el numeral 3o. del artículo 120 de la Constitución Política </w:t>
      </w:r>
      <w:r w:rsidRPr="001F0967">
        <w:rPr>
          <w:rFonts w:eastAsia="Times New Roman" w:cs="Times New Roman"/>
          <w:szCs w:val="24"/>
          <w:u w:val="single"/>
          <w:lang w:eastAsia="es-CO"/>
        </w:rPr>
        <w:t>y en los artículos </w:t>
      </w:r>
      <w:hyperlink r:id="rId10" w:tooltip="Estatuto Tributario CETA" w:history="1">
        <w:r w:rsidRPr="001F0967">
          <w:rPr>
            <w:rFonts w:eastAsia="Times New Roman" w:cs="Times New Roman"/>
            <w:szCs w:val="24"/>
            <w:lang w:eastAsia="es-CO"/>
          </w:rPr>
          <w:t>132</w:t>
        </w:r>
      </w:hyperlink>
      <w:r w:rsidRPr="001F0967">
        <w:rPr>
          <w:rFonts w:eastAsia="Times New Roman" w:cs="Times New Roman"/>
          <w:szCs w:val="24"/>
          <w:u w:val="single"/>
          <w:lang w:eastAsia="es-CO"/>
        </w:rPr>
        <w:t>, </w:t>
      </w:r>
      <w:hyperlink r:id="rId11" w:tooltip="Estatuto Tributario CETA" w:history="1">
        <w:r w:rsidRPr="001F0967">
          <w:rPr>
            <w:rFonts w:eastAsia="Times New Roman" w:cs="Times New Roman"/>
            <w:szCs w:val="24"/>
            <w:lang w:eastAsia="es-CO"/>
          </w:rPr>
          <w:t>137</w:t>
        </w:r>
      </w:hyperlink>
      <w:r w:rsidRPr="001F0967">
        <w:rPr>
          <w:rFonts w:eastAsia="Times New Roman" w:cs="Times New Roman"/>
          <w:szCs w:val="24"/>
          <w:u w:val="single"/>
          <w:lang w:eastAsia="es-CO"/>
        </w:rPr>
        <w:t>, </w:t>
      </w:r>
      <w:hyperlink r:id="rId12" w:tooltip="Estatuto Tributario CETA" w:history="1">
        <w:r w:rsidRPr="001F0967">
          <w:rPr>
            <w:rFonts w:eastAsia="Times New Roman" w:cs="Times New Roman"/>
            <w:szCs w:val="24"/>
            <w:lang w:eastAsia="es-CO"/>
          </w:rPr>
          <w:t>141</w:t>
        </w:r>
      </w:hyperlink>
      <w:r w:rsidRPr="001F0967">
        <w:rPr>
          <w:rFonts w:eastAsia="Times New Roman" w:cs="Times New Roman"/>
          <w:szCs w:val="24"/>
          <w:u w:val="single"/>
          <w:lang w:eastAsia="es-CO"/>
        </w:rPr>
        <w:t> y </w:t>
      </w:r>
      <w:hyperlink r:id="rId13" w:tooltip="Estatuto Tributario CETA" w:history="1">
        <w:r w:rsidRPr="001F0967">
          <w:rPr>
            <w:rFonts w:eastAsia="Times New Roman" w:cs="Times New Roman"/>
            <w:szCs w:val="24"/>
            <w:lang w:eastAsia="es-CO"/>
          </w:rPr>
          <w:t>868</w:t>
        </w:r>
      </w:hyperlink>
      <w:r w:rsidRPr="001F0967">
        <w:rPr>
          <w:rFonts w:eastAsia="Times New Roman" w:cs="Times New Roman"/>
          <w:szCs w:val="24"/>
          <w:u w:val="single"/>
          <w:lang w:eastAsia="es-CO"/>
        </w:rPr>
        <w:t>del Estatuto Tributario</w:t>
      </w:r>
      <w:r w:rsidRPr="001F0967">
        <w:rPr>
          <w:rFonts w:eastAsia="Times New Roman" w:cs="Times New Roman"/>
          <w:szCs w:val="24"/>
          <w:lang w:eastAsia="es-CO"/>
        </w:rPr>
        <w:t>,</w:t>
      </w:r>
    </w:p>
    <w:p w:rsidR="001F0967" w:rsidRPr="001F0967" w:rsidRDefault="001F0967" w:rsidP="001F0967">
      <w:pPr>
        <w:spacing w:line="240" w:lineRule="auto"/>
        <w:ind w:left="180"/>
        <w:jc w:val="center"/>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ind w:left="180"/>
        <w:jc w:val="center"/>
        <w:rPr>
          <w:rFonts w:eastAsia="Times New Roman" w:cs="Times New Roman"/>
          <w:szCs w:val="24"/>
          <w:lang w:eastAsia="es-CO"/>
        </w:rPr>
      </w:pPr>
      <w:r w:rsidRPr="001F0967">
        <w:rPr>
          <w:rFonts w:eastAsia="Times New Roman" w:cs="Times New Roman"/>
          <w:b/>
          <w:bCs/>
          <w:szCs w:val="24"/>
          <w:lang w:eastAsia="es-CO"/>
        </w:rPr>
        <w:t>DECRETA:</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bCs/>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No hay duda que la reglamentación se refería a las disposiciones vigentes para dicha época y por supuesto atendían el contenido normativo en mención.</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No obstante, con la revisión actual de las disposiciones reglamentadas se encuentra que el </w:t>
      </w:r>
      <w:hyperlink r:id="rId14" w:tooltip="Estatuto Tributario CETA" w:history="1">
        <w:r w:rsidRPr="001F0967">
          <w:rPr>
            <w:rFonts w:eastAsia="Times New Roman" w:cs="Times New Roman"/>
            <w:szCs w:val="24"/>
            <w:lang w:eastAsia="es-CO"/>
          </w:rPr>
          <w:t>artículo 132</w:t>
        </w:r>
      </w:hyperlink>
      <w:r w:rsidRPr="001F0967">
        <w:rPr>
          <w:rFonts w:eastAsia="Times New Roman" w:cs="Times New Roman"/>
          <w:szCs w:val="24"/>
          <w:lang w:eastAsia="es-CO"/>
        </w:rPr>
        <w:t> fue derogado por el artículo 285 de la Ley 223 de 1995, mientras que el </w:t>
      </w:r>
      <w:hyperlink r:id="rId15" w:tooltip="Estatuto Tributario CETA" w:history="1">
        <w:r w:rsidRPr="001F0967">
          <w:rPr>
            <w:rFonts w:eastAsia="Times New Roman" w:cs="Times New Roman"/>
            <w:szCs w:val="24"/>
            <w:lang w:eastAsia="es-CO"/>
          </w:rPr>
          <w:t>artículo 137</w:t>
        </w:r>
      </w:hyperlink>
      <w:r w:rsidRPr="001F0967">
        <w:rPr>
          <w:rFonts w:eastAsia="Times New Roman" w:cs="Times New Roman"/>
          <w:szCs w:val="24"/>
          <w:lang w:eastAsia="es-CO"/>
        </w:rPr>
        <w:t> fue modificado por el artículo 32 de la Ley 1819 de 2016 y a su vez, el </w:t>
      </w:r>
      <w:hyperlink r:id="rId16" w:tooltip="Estatuto Tributario CETA" w:history="1">
        <w:r w:rsidRPr="001F0967">
          <w:rPr>
            <w:rFonts w:eastAsia="Times New Roman" w:cs="Times New Roman"/>
            <w:szCs w:val="24"/>
            <w:lang w:eastAsia="es-CO"/>
          </w:rPr>
          <w:t>artículo 141</w:t>
        </w:r>
      </w:hyperlink>
      <w:r w:rsidRPr="001F0967">
        <w:rPr>
          <w:rFonts w:eastAsia="Times New Roman" w:cs="Times New Roman"/>
          <w:szCs w:val="24"/>
          <w:lang w:eastAsia="es-CO"/>
        </w:rPr>
        <w:t> fue derogado por el artículo 376 de la Ley 1819 de 2016.</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b/>
          <w:szCs w:val="24"/>
          <w:lang w:eastAsia="es-CO"/>
        </w:rPr>
      </w:pPr>
      <w:r w:rsidRPr="001F0967">
        <w:rPr>
          <w:rFonts w:eastAsia="Times New Roman" w:cs="Times New Roman"/>
          <w:b/>
          <w:szCs w:val="24"/>
          <w:lang w:eastAsia="es-CO"/>
        </w:rPr>
        <w:t>En consecuencia, al desaparecer los fundamentos de derecho ninguno de los artículos reglamentarios se encuentran vigentes en su contenido; es decir, que la reglamentación referida carece de disposiciones legales que la soporten y posibiliten la ejecución del Decreto Reglamentario como acto administrativo. Lo anterior de conformidad con lo regulado por el artículo 91 del Código Contencioso Administrativo y de Procedimiento Administrativo.</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b/>
          <w:bCs/>
          <w:szCs w:val="24"/>
          <w:lang w:eastAsia="es-CO"/>
        </w:rPr>
        <w:t>ARTÍCULO 91. </w:t>
      </w:r>
      <w:r w:rsidRPr="001F0967">
        <w:rPr>
          <w:rFonts w:eastAsia="Times New Roman" w:cs="Times New Roman"/>
          <w:b/>
          <w:bCs/>
          <w:i/>
          <w:iCs/>
          <w:szCs w:val="24"/>
          <w:lang w:eastAsia="es-CO"/>
        </w:rPr>
        <w:t>PÉRDIDA DE EJECUTORIEDAD DEL ACTO ADMINISTRATIVO</w:t>
      </w:r>
      <w:r w:rsidRPr="001F0967">
        <w:rPr>
          <w:rFonts w:eastAsia="Times New Roman" w:cs="Times New Roman"/>
          <w:b/>
          <w:bCs/>
          <w:szCs w:val="24"/>
          <w:lang w:eastAsia="es-CO"/>
        </w:rPr>
        <w:t>. </w:t>
      </w:r>
      <w:r w:rsidRPr="001F0967">
        <w:rPr>
          <w:rFonts w:eastAsia="Times New Roman" w:cs="Times New Roman"/>
          <w:szCs w:val="24"/>
          <w:lang w:eastAsia="es-CO"/>
        </w:rPr>
        <w:t>Salvo norma expresa en contrario, los actos administrativos en firme serán obligatorios mientras no hayan sido anulados por la Jurisdicción de lo Contencioso Administrativo. Perderán obligatoriedad y, por lo tanto, no podrán ser ejecutados en los siguientes casos:</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1.- Cuando sean suspendidos provisionalmente sus efectos por la Jurisdicción de lo Contencioso Administrativo.</w:t>
      </w:r>
    </w:p>
    <w:p w:rsidR="001F0967" w:rsidRDefault="001F0967" w:rsidP="001F0967">
      <w:pPr>
        <w:spacing w:line="240" w:lineRule="auto"/>
        <w:ind w:left="180"/>
        <w:rPr>
          <w:rFonts w:eastAsia="Times New Roman" w:cs="Times New Roman"/>
          <w:szCs w:val="24"/>
          <w:lang w:eastAsia="es-CO"/>
        </w:rPr>
      </w:pP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2- </w:t>
      </w:r>
      <w:r w:rsidRPr="001F0967">
        <w:rPr>
          <w:rFonts w:eastAsia="Times New Roman" w:cs="Times New Roman"/>
          <w:szCs w:val="24"/>
          <w:u w:val="single"/>
          <w:lang w:eastAsia="es-CO"/>
        </w:rPr>
        <w:t>Cuando desaparezcan sus fundamentos de hecho o de derecho</w:t>
      </w:r>
      <w:r w:rsidRPr="001F0967">
        <w:rPr>
          <w:rFonts w:eastAsia="Times New Roman" w:cs="Times New Roman"/>
          <w:szCs w:val="24"/>
          <w:lang w:eastAsia="es-CO"/>
        </w:rPr>
        <w:t>.</w:t>
      </w:r>
    </w:p>
    <w:p w:rsidR="001F0967" w:rsidRDefault="001F0967" w:rsidP="001F0967">
      <w:pPr>
        <w:spacing w:line="240" w:lineRule="auto"/>
        <w:ind w:left="180"/>
        <w:rPr>
          <w:rFonts w:eastAsia="Times New Roman" w:cs="Times New Roman"/>
          <w:szCs w:val="24"/>
          <w:lang w:eastAsia="es-CO"/>
        </w:rPr>
      </w:pP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3- Cuando al cabo de cinco (5) años de estar en firme, la autoridad no ha realizado los actos que le correspondan para ejecutarlos.</w:t>
      </w:r>
    </w:p>
    <w:p w:rsidR="001F0967" w:rsidRDefault="001F0967" w:rsidP="001F0967">
      <w:pPr>
        <w:spacing w:line="240" w:lineRule="auto"/>
        <w:ind w:left="180"/>
        <w:rPr>
          <w:rFonts w:eastAsia="Times New Roman" w:cs="Times New Roman"/>
          <w:szCs w:val="24"/>
          <w:lang w:eastAsia="es-CO"/>
        </w:rPr>
      </w:pP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4- Cuando se cumpla la condición resolutoria a que se encuentre sometido el acto.</w:t>
      </w:r>
    </w:p>
    <w:p w:rsidR="001F0967" w:rsidRDefault="001F0967" w:rsidP="001F0967">
      <w:pPr>
        <w:spacing w:line="240" w:lineRule="auto"/>
        <w:ind w:left="180"/>
        <w:rPr>
          <w:rFonts w:eastAsia="Times New Roman" w:cs="Times New Roman"/>
          <w:szCs w:val="24"/>
          <w:lang w:eastAsia="es-CO"/>
        </w:rPr>
      </w:pP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5- Cuando pierdan vigencia.</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Así las cosas, el contenido del artículo 1.2.1.18.5 del Decreto Único Reglamentario 1625 de 2016, sobre la depreciación en su totalidad en el mismo año de adquisición para activos fijos cuyo costo de adquisición sea inferior a 50 UVT </w:t>
      </w:r>
      <w:r w:rsidRPr="001F0967">
        <w:rPr>
          <w:rFonts w:eastAsia="Times New Roman" w:cs="Times New Roman"/>
          <w:b/>
          <w:bCs/>
          <w:szCs w:val="24"/>
          <w:lang w:eastAsia="es-CO"/>
        </w:rPr>
        <w:t>no resulta aplicable en la actualidad </w:t>
      </w:r>
      <w:r w:rsidRPr="001F0967">
        <w:rPr>
          <w:rFonts w:eastAsia="Times New Roman" w:cs="Times New Roman"/>
          <w:szCs w:val="24"/>
          <w:lang w:eastAsia="es-CO"/>
        </w:rPr>
        <w:t>para el año gravable 2017; por tanto, corresponde remitirnos al contenido del </w:t>
      </w:r>
      <w:hyperlink r:id="rId17" w:tooltip="Estatuto Tributario CETA" w:history="1">
        <w:r w:rsidRPr="001F0967">
          <w:rPr>
            <w:rFonts w:eastAsia="Times New Roman" w:cs="Times New Roman"/>
            <w:szCs w:val="24"/>
            <w:lang w:eastAsia="es-CO"/>
          </w:rPr>
          <w:t>artículo 137</w:t>
        </w:r>
      </w:hyperlink>
      <w:r w:rsidRPr="001F0967">
        <w:rPr>
          <w:rFonts w:eastAsia="Times New Roman" w:cs="Times New Roman"/>
          <w:szCs w:val="24"/>
          <w:lang w:eastAsia="es-CO"/>
        </w:rPr>
        <w:t> del Estatuto Tributario modificado por el artículo 82 de la Ley 1819 de 2016.</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 </w:t>
      </w:r>
    </w:p>
    <w:p w:rsidR="001F0967" w:rsidRPr="001F0967" w:rsidRDefault="00A02597" w:rsidP="001F0967">
      <w:pPr>
        <w:spacing w:line="240" w:lineRule="auto"/>
        <w:ind w:left="180"/>
        <w:rPr>
          <w:rFonts w:eastAsia="Times New Roman" w:cs="Times New Roman"/>
          <w:szCs w:val="24"/>
          <w:lang w:eastAsia="es-CO"/>
        </w:rPr>
      </w:pPr>
      <w:hyperlink r:id="rId18" w:tooltip="Estatuto Tributario CETA" w:history="1">
        <w:r w:rsidR="001F0967" w:rsidRPr="001F0967">
          <w:rPr>
            <w:rFonts w:eastAsia="Times New Roman" w:cs="Times New Roman"/>
            <w:b/>
            <w:bCs/>
            <w:szCs w:val="24"/>
            <w:lang w:eastAsia="es-CO"/>
          </w:rPr>
          <w:t>ARTÍCULO 137</w:t>
        </w:r>
      </w:hyperlink>
      <w:r w:rsidR="001F0967" w:rsidRPr="001F0967">
        <w:rPr>
          <w:rFonts w:eastAsia="Times New Roman" w:cs="Times New Roman"/>
          <w:b/>
          <w:bCs/>
          <w:szCs w:val="24"/>
          <w:lang w:eastAsia="es-CO"/>
        </w:rPr>
        <w:t>. </w:t>
      </w:r>
      <w:r w:rsidR="001F0967" w:rsidRPr="001F0967">
        <w:rPr>
          <w:rFonts w:eastAsia="Times New Roman" w:cs="Times New Roman"/>
          <w:b/>
          <w:bCs/>
          <w:i/>
          <w:iCs/>
          <w:szCs w:val="24"/>
          <w:lang w:eastAsia="es-CO"/>
        </w:rPr>
        <w:t>LIMITACIÓN A LA DEDUCCIÓN POR DEPRECIACIÓN.</w:t>
      </w:r>
      <w:r w:rsidR="001F0967" w:rsidRPr="001F0967">
        <w:rPr>
          <w:rFonts w:eastAsia="Times New Roman" w:cs="Times New Roman"/>
          <w:i/>
          <w:iCs/>
          <w:szCs w:val="24"/>
          <w:lang w:eastAsia="es-CO"/>
        </w:rPr>
        <w:t> </w:t>
      </w:r>
      <w:r w:rsidR="001F0967" w:rsidRPr="001F0967">
        <w:rPr>
          <w:rFonts w:eastAsia="Times New Roman" w:cs="Times New Roman"/>
          <w:szCs w:val="24"/>
          <w:lang w:eastAsia="es-CO"/>
        </w:rPr>
        <w:t>&lt;Artículo modificado por el artículo 82 de la Ley 1819 de 2016. El nuevo texto es el siguiente:&gt; Para efectos del impuesto sobre la renta y complementarios </w:t>
      </w:r>
      <w:r w:rsidR="001F0967" w:rsidRPr="001F0967">
        <w:rPr>
          <w:rFonts w:eastAsia="Times New Roman" w:cs="Times New Roman"/>
          <w:szCs w:val="24"/>
          <w:u w:val="single"/>
          <w:lang w:eastAsia="es-CO"/>
        </w:rPr>
        <w:t>la tasa por depreciación a deducir anualmente será la establecida de conformidad con la técnica contable siempre que no exceda las tasas máximas determinadas por el Gobierno nacional</w:t>
      </w:r>
      <w:r w:rsidR="001F0967" w:rsidRPr="001F0967">
        <w:rPr>
          <w:rFonts w:eastAsia="Times New Roman" w:cs="Times New Roman"/>
          <w:szCs w:val="24"/>
          <w:lang w:eastAsia="es-CO"/>
        </w:rPr>
        <w:t>.</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b/>
          <w:bCs/>
          <w:szCs w:val="24"/>
          <w:lang w:eastAsia="es-CO"/>
        </w:rPr>
        <w:t>PARÁGRAFO 1o.</w:t>
      </w:r>
      <w:r w:rsidRPr="001F0967">
        <w:rPr>
          <w:rFonts w:eastAsia="Times New Roman" w:cs="Times New Roman"/>
          <w:szCs w:val="24"/>
          <w:lang w:eastAsia="es-CO"/>
        </w:rPr>
        <w:t> </w:t>
      </w:r>
      <w:r w:rsidRPr="001F0967">
        <w:rPr>
          <w:rFonts w:eastAsia="Times New Roman" w:cs="Times New Roman"/>
          <w:szCs w:val="24"/>
          <w:u w:val="single"/>
          <w:lang w:eastAsia="es-CO"/>
        </w:rPr>
        <w:t>El Gobierno nacional reglamentará las tasas máximas de depreciación</w:t>
      </w:r>
      <w:r w:rsidRPr="001F0967">
        <w:rPr>
          <w:rFonts w:eastAsia="Times New Roman" w:cs="Times New Roman"/>
          <w:szCs w:val="24"/>
          <w:lang w:eastAsia="es-CO"/>
        </w:rPr>
        <w:t>, las cuales oscilarán entre el 2.22% y el 33%. </w:t>
      </w:r>
      <w:r w:rsidRPr="001F0967">
        <w:rPr>
          <w:rFonts w:eastAsia="Times New Roman" w:cs="Times New Roman"/>
          <w:szCs w:val="24"/>
          <w:u w:val="single"/>
          <w:lang w:eastAsia="es-CO"/>
        </w:rPr>
        <w:t>En ausencia de dicho reglamento, se aplicarán las siguientes tasas anuales</w:t>
      </w:r>
      <w:r w:rsidRPr="001F0967">
        <w:rPr>
          <w:rFonts w:eastAsia="Times New Roman" w:cs="Times New Roman"/>
          <w:szCs w:val="24"/>
          <w:lang w:eastAsia="es-CO"/>
        </w:rPr>
        <w:t>, sobre la base para calcular la depreciación:</w:t>
      </w:r>
    </w:p>
    <w:p w:rsidR="001F0967" w:rsidRPr="001F0967" w:rsidRDefault="001F0967" w:rsidP="001F0967">
      <w:pPr>
        <w:spacing w:line="240" w:lineRule="auto"/>
        <w:ind w:left="180"/>
        <w:jc w:val="center"/>
        <w:rPr>
          <w:rFonts w:eastAsia="Times New Roman" w:cs="Times New Roman"/>
          <w:szCs w:val="24"/>
          <w:lang w:eastAsia="es-CO"/>
        </w:rPr>
      </w:pPr>
      <w:r w:rsidRPr="001F0967">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4499"/>
        <w:gridCol w:w="4319"/>
      </w:tblGrid>
      <w:tr w:rsidR="001F0967" w:rsidRPr="00A02597" w:rsidTr="001F0967">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b/>
                <w:bCs/>
                <w:sz w:val="20"/>
                <w:szCs w:val="20"/>
                <w:lang w:eastAsia="es-CO"/>
              </w:rPr>
              <w:t>CONCEPTOS DE BIENES A DEPRECIAR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b/>
                <w:bCs/>
                <w:sz w:val="20"/>
                <w:szCs w:val="20"/>
                <w:lang w:eastAsia="es-CO"/>
              </w:rPr>
              <w:t>TASA DE DEPRECIACIÓN FISCAL ANUAL %</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CONSTRUCCIONES Y EDIFICACIONES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2,22%</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ACUEDUCTO, PLANTA Y REDES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2,50%</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VÍAS DE COMUNICACIÓN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2,50%</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FLOTA Y EQUIPO AÉREO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3,33%</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FLOTA Y EQUIPO FÉRREO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5,00%</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FLOTA Y EQUIPO FLUVIAL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6,67%</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ARMAMENTO Y EQUIPO DE VIGILANCIA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10,00%</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EQUIPO ELÉCTRICO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10,00%</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FLOTA Y EQUIPO DE TRANSPORTE TERRESTRE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10,00%</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MAQUINARIA, EQUIPOS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10,00%</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MUEBLES Y ENSERES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10,00%</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EQUIPO MÉDICO CIENTÍFICO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12,50%</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ENVASES, EMPAQUES Y HERRAMIENTAS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20,00%</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EQUIPO DE COMPUTACIÓN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20,00%</w:t>
            </w:r>
          </w:p>
        </w:tc>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REDES DE PROCESAMIENTO DE DATOS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20,00%</w:t>
            </w:r>
          </w:p>
        </w:tc>
        <w:bookmarkStart w:id="0" w:name="_GoBack"/>
        <w:bookmarkEnd w:id="0"/>
      </w:tr>
      <w:tr w:rsidR="001F0967" w:rsidRPr="00A02597" w:rsidTr="001F096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rPr>
                <w:rFonts w:eastAsia="Times New Roman" w:cs="Times New Roman"/>
                <w:sz w:val="20"/>
                <w:szCs w:val="20"/>
                <w:lang w:eastAsia="es-CO"/>
              </w:rPr>
            </w:pPr>
            <w:r w:rsidRPr="00A02597">
              <w:rPr>
                <w:rFonts w:eastAsia="Times New Roman" w:cs="Times New Roman"/>
                <w:sz w:val="20"/>
                <w:szCs w:val="20"/>
                <w:lang w:eastAsia="es-CO"/>
              </w:rPr>
              <w:t>EQUIPO DE COMUNICACIÓN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0967" w:rsidRPr="00A02597" w:rsidRDefault="001F0967" w:rsidP="001F0967">
            <w:pPr>
              <w:spacing w:line="240" w:lineRule="auto"/>
              <w:jc w:val="center"/>
              <w:rPr>
                <w:rFonts w:eastAsia="Times New Roman" w:cs="Times New Roman"/>
                <w:sz w:val="20"/>
                <w:szCs w:val="20"/>
                <w:lang w:eastAsia="es-CO"/>
              </w:rPr>
            </w:pPr>
            <w:r w:rsidRPr="00A02597">
              <w:rPr>
                <w:rFonts w:eastAsia="Times New Roman" w:cs="Times New Roman"/>
                <w:sz w:val="20"/>
                <w:szCs w:val="20"/>
                <w:lang w:eastAsia="es-CO"/>
              </w:rPr>
              <w:t>20,00%</w:t>
            </w:r>
          </w:p>
        </w:tc>
      </w:tr>
    </w:tbl>
    <w:p w:rsidR="001F0967" w:rsidRPr="00A02597" w:rsidRDefault="001F0967" w:rsidP="001F0967">
      <w:pPr>
        <w:spacing w:line="240" w:lineRule="auto"/>
        <w:ind w:left="180"/>
        <w:rPr>
          <w:rFonts w:eastAsia="Times New Roman" w:cs="Times New Roman"/>
          <w:sz w:val="20"/>
          <w:szCs w:val="20"/>
          <w:lang w:eastAsia="es-CO"/>
        </w:rPr>
      </w:pPr>
      <w:r w:rsidRPr="00A02597">
        <w:rPr>
          <w:rFonts w:eastAsia="Times New Roman" w:cs="Times New Roman"/>
          <w:sz w:val="20"/>
          <w:szCs w:val="20"/>
          <w:lang w:eastAsia="es-CO"/>
        </w:rPr>
        <w:t> </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b/>
          <w:bCs/>
          <w:szCs w:val="24"/>
          <w:lang w:eastAsia="es-CO"/>
        </w:rPr>
        <w:t>PARÁGRAFO 2o.</w:t>
      </w:r>
      <w:r w:rsidRPr="001F0967">
        <w:rPr>
          <w:rFonts w:eastAsia="Times New Roman" w:cs="Times New Roman"/>
          <w:szCs w:val="24"/>
          <w:lang w:eastAsia="es-CO"/>
        </w:rPr>
        <w:t> Para efectos del impuesto sobre la renta y complementarios, la vida útil es el período durante el cual se espera que el activo brinde beneficios económicos futuros al contribuyente; por lo cual la tasa de depreciación fiscal no necesariamente coincidirá con la tasa de depreciación contable.</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u w:val="single"/>
          <w:lang w:eastAsia="es-CO"/>
        </w:rPr>
        <w:lastRenderedPageBreak/>
        <w:t>La vida útil de los activos depreciables deberá estar soportada para efectos fiscales por medio de, entre otros, estudios técnicos, manuales de uso e informes</w:t>
      </w:r>
      <w:r w:rsidRPr="001F0967">
        <w:rPr>
          <w:rFonts w:eastAsia="Times New Roman" w:cs="Times New Roman"/>
          <w:szCs w:val="24"/>
          <w:lang w:eastAsia="es-CO"/>
        </w:rPr>
        <w:t>. También son admisibles para soportar la vida útil de los activos documentos probatorios elaborados por un experto en la materia.</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b/>
          <w:bCs/>
          <w:szCs w:val="24"/>
          <w:lang w:eastAsia="es-CO"/>
        </w:rPr>
        <w:t>PARÁGRAFO 3o. </w:t>
      </w:r>
      <w:r w:rsidRPr="001F0967">
        <w:rPr>
          <w:rFonts w:eastAsia="Times New Roman" w:cs="Times New Roman"/>
          <w:szCs w:val="24"/>
          <w:lang w:eastAsia="es-CO"/>
        </w:rPr>
        <w:t>En caso de que el contribuyente realice la depreciación de un elemento de la propiedad, planta y equipo por componentes principales de conformidad con la técnica contable, la deducción por depreciación para efectos del impuesto sobre la renta y complementarios no podrá ser superior a la depreciación o alícuota permitida en este estatuto o el reglamento, para el elemento de propiedad, planta y equipo en su totalidad.</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b/>
          <w:bCs/>
          <w:szCs w:val="24"/>
          <w:lang w:eastAsia="es-CO"/>
        </w:rPr>
        <w:t>PARÁGRAFO 4o. </w:t>
      </w:r>
      <w:r w:rsidRPr="001F0967">
        <w:rPr>
          <w:rFonts w:eastAsia="Times New Roman" w:cs="Times New Roman"/>
          <w:szCs w:val="24"/>
          <w:u w:val="single"/>
          <w:lang w:eastAsia="es-CO"/>
        </w:rPr>
        <w:t>Las deducciones por depreciación no deducibles porque exceden los límites establecidos en este artículo o en el reglamento, en el año o período gravable, generarán una diferencia que será deducible en los períodos siguientes al término de la vida útil del activo</w:t>
      </w:r>
      <w:r w:rsidRPr="001F0967">
        <w:rPr>
          <w:rFonts w:eastAsia="Times New Roman" w:cs="Times New Roman"/>
          <w:szCs w:val="24"/>
          <w:lang w:eastAsia="es-CO"/>
        </w:rPr>
        <w:t>. En todo caso, la recuperación de la diferencia, anualmente, no podrá exceder el límite establecido en este artículo o el reglamento calculado sobre el costo fiscal menos el valor residual del activo”.</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ind w:left="180"/>
        <w:rPr>
          <w:rFonts w:eastAsia="Times New Roman" w:cs="Times New Roman"/>
          <w:szCs w:val="24"/>
          <w:lang w:eastAsia="es-CO"/>
        </w:rPr>
      </w:pPr>
      <w:r w:rsidRPr="001F0967">
        <w:rPr>
          <w:rFonts w:eastAsia="Times New Roman" w:cs="Times New Roman"/>
          <w:b/>
          <w:bCs/>
          <w:szCs w:val="24"/>
          <w:lang w:eastAsia="es-CO"/>
        </w:rPr>
        <w:t>PARÁGRAFO 5o. </w:t>
      </w:r>
      <w:r w:rsidRPr="001F0967">
        <w:rPr>
          <w:rFonts w:eastAsia="Times New Roman" w:cs="Times New Roman"/>
          <w:szCs w:val="24"/>
          <w:lang w:eastAsia="es-CO"/>
        </w:rPr>
        <w:t>La depreciación de las inversiones en infraestructura de que trata el artículo 4o de la Ley 1493 de 2011, se efectuará mediante línea recta durante un período de 10 años; lo cual excluye la aplicación de lo previsto en el </w:t>
      </w:r>
      <w:hyperlink r:id="rId19" w:tooltip="Estatuto Tributario CETA" w:history="1">
        <w:r w:rsidRPr="001F0967">
          <w:rPr>
            <w:rFonts w:eastAsia="Times New Roman" w:cs="Times New Roman"/>
            <w:szCs w:val="24"/>
            <w:lang w:eastAsia="es-CO"/>
          </w:rPr>
          <w:t>artículo 140</w:t>
        </w:r>
      </w:hyperlink>
      <w:r w:rsidRPr="001F0967">
        <w:rPr>
          <w:rFonts w:eastAsia="Times New Roman" w:cs="Times New Roman"/>
          <w:szCs w:val="24"/>
          <w:lang w:eastAsia="es-CO"/>
        </w:rPr>
        <w:t> del Estatuto Tributario.</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En resumen, para los años gravables 2017 y siguientes se debe usar lo dispuesto por el artículo transcrito, teniendo en cuenta que la tasa por depreciación a deducir anualmente será la establecida de conformidad con la técnica contable siempre que no exceda las tasas máximas determinadas por el Gobierno Nacional y la respectiva reglamentación, sin superar los límites determinados en la ley.</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Lo antedicho se manifiesta sin perjuicio de posterior reglamentación que expida el Gobierno Nacional en ejercicio de sus facultades.</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Atentamente,</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bCs/>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bCs/>
          <w:szCs w:val="24"/>
          <w:lang w:eastAsia="es-CO"/>
        </w:rPr>
        <w:t> </w:t>
      </w:r>
    </w:p>
    <w:p w:rsidR="001F0967" w:rsidRPr="001F0967" w:rsidRDefault="001F0967" w:rsidP="001F0967">
      <w:pPr>
        <w:spacing w:line="240" w:lineRule="auto"/>
        <w:rPr>
          <w:rFonts w:eastAsia="Times New Roman" w:cs="Times New Roman"/>
          <w:szCs w:val="24"/>
          <w:lang w:eastAsia="es-CO"/>
        </w:rPr>
      </w:pPr>
      <w:r w:rsidRPr="001F0967">
        <w:rPr>
          <w:rFonts w:eastAsia="Times New Roman" w:cs="Times New Roman"/>
          <w:b/>
          <w:bCs/>
          <w:szCs w:val="24"/>
          <w:lang w:eastAsia="es-CO"/>
        </w:rPr>
        <w:t>PEDRO PABLO CONTRERAS CAMARGO</w:t>
      </w:r>
    </w:p>
    <w:p w:rsidR="001F0967" w:rsidRDefault="001F0967" w:rsidP="001F0967">
      <w:pPr>
        <w:spacing w:line="240" w:lineRule="auto"/>
        <w:rPr>
          <w:rFonts w:eastAsia="Times New Roman" w:cs="Times New Roman"/>
          <w:szCs w:val="24"/>
          <w:lang w:eastAsia="es-CO"/>
        </w:rPr>
      </w:pPr>
      <w:r w:rsidRPr="001F0967">
        <w:rPr>
          <w:rFonts w:eastAsia="Times New Roman" w:cs="Times New Roman"/>
          <w:szCs w:val="24"/>
          <w:lang w:eastAsia="es-CO"/>
        </w:rPr>
        <w:t>Subdirector de Gestión Normativa y Doctrina</w:t>
      </w:r>
    </w:p>
    <w:p w:rsidR="001F0967" w:rsidRPr="001F0967" w:rsidRDefault="001F0967" w:rsidP="001F0967">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1F0967" w:rsidRPr="001F0967" w:rsidRDefault="001F0967" w:rsidP="001F0967">
      <w:pPr>
        <w:spacing w:after="285" w:line="240" w:lineRule="auto"/>
        <w:jc w:val="left"/>
        <w:rPr>
          <w:rFonts w:eastAsia="Times New Roman" w:cs="Times New Roman"/>
          <w:szCs w:val="24"/>
          <w:lang w:eastAsia="es-CO"/>
        </w:rPr>
      </w:pPr>
      <w:r w:rsidRPr="001F0967">
        <w:rPr>
          <w:rFonts w:eastAsia="Times New Roman" w:cs="Times New Roman"/>
          <w:szCs w:val="24"/>
          <w:lang w:eastAsia="es-CO"/>
        </w:rPr>
        <w:t> </w:t>
      </w:r>
    </w:p>
    <w:p w:rsidR="00961BFA" w:rsidRPr="001F0967" w:rsidRDefault="00961BFA">
      <w:pPr>
        <w:rPr>
          <w:rFonts w:cs="Times New Roman"/>
          <w:szCs w:val="24"/>
        </w:rPr>
      </w:pPr>
    </w:p>
    <w:sectPr w:rsidR="00961BFA" w:rsidRPr="001F0967" w:rsidSect="006C6F18">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67"/>
    <w:rsid w:val="001F0967"/>
    <w:rsid w:val="0029351E"/>
    <w:rsid w:val="006C6F18"/>
    <w:rsid w:val="00961BFA"/>
    <w:rsid w:val="00A02597"/>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A62D6-3F84-4DD4-9EBB-2DEDFA2E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99" TargetMode="External"/><Relationship Id="rId13" Type="http://schemas.openxmlformats.org/officeDocument/2006/relationships/hyperlink" Target="https://www.ceta.org.co/html/vista_de_un_articulo.asp?Norma=1079" TargetMode="External"/><Relationship Id="rId18" Type="http://schemas.openxmlformats.org/officeDocument/2006/relationships/hyperlink" Target="https://www.ceta.org.co/html/vista_de_un_articulo.asp?Norma=19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194" TargetMode="External"/><Relationship Id="rId12" Type="http://schemas.openxmlformats.org/officeDocument/2006/relationships/hyperlink" Target="https://www.ceta.org.co/html/vista_de_un_articulo.asp?Norma=203" TargetMode="External"/><Relationship Id="rId17" Type="http://schemas.openxmlformats.org/officeDocument/2006/relationships/hyperlink" Target="https://www.ceta.org.co/html/vista_de_un_articulo.asp?Norma=199" TargetMode="External"/><Relationship Id="rId2" Type="http://schemas.openxmlformats.org/officeDocument/2006/relationships/settings" Target="settings.xml"/><Relationship Id="rId16" Type="http://schemas.openxmlformats.org/officeDocument/2006/relationships/hyperlink" Target="https://www.ceta.org.co/html/vista_de_un_articulo.asp?Norma=20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99" TargetMode="External"/><Relationship Id="rId11" Type="http://schemas.openxmlformats.org/officeDocument/2006/relationships/hyperlink" Target="https://www.ceta.org.co/html/vista_de_un_articulo.asp?Norma=199" TargetMode="External"/><Relationship Id="rId5" Type="http://schemas.openxmlformats.org/officeDocument/2006/relationships/hyperlink" Target="https://www.ceta.org.co/html/vista_de_un_articulo.asp?Norma=199" TargetMode="External"/><Relationship Id="rId15" Type="http://schemas.openxmlformats.org/officeDocument/2006/relationships/hyperlink" Target="https://www.ceta.org.co/html/vista_de_un_articulo.asp?Norma=199" TargetMode="External"/><Relationship Id="rId10" Type="http://schemas.openxmlformats.org/officeDocument/2006/relationships/hyperlink" Target="https://www.ceta.org.co/html/vista_de_un_articulo.asp?Norma=194" TargetMode="External"/><Relationship Id="rId19" Type="http://schemas.openxmlformats.org/officeDocument/2006/relationships/hyperlink" Target="https://www.ceta.org.co/html/vista_de_un_articulo.asp?Norma=202" TargetMode="External"/><Relationship Id="rId4" Type="http://schemas.openxmlformats.org/officeDocument/2006/relationships/hyperlink" Target="mailto:EDUESPINEL@HOTMAIL.COM" TargetMode="External"/><Relationship Id="rId9" Type="http://schemas.openxmlformats.org/officeDocument/2006/relationships/hyperlink" Target="https://www.ceta.org.co/html/vista_de_un_articulo.asp?Norma=203" TargetMode="External"/><Relationship Id="rId14" Type="http://schemas.openxmlformats.org/officeDocument/2006/relationships/hyperlink" Target="https://www.ceta.org.co/html/vista_de_un_articulo.asp?Norma=1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1557</Words>
  <Characters>8566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2017-08-20T15:45:00Z</dcterms:created>
  <dcterms:modified xsi:type="dcterms:W3CDTF">2017-08-20T20:48:00Z</dcterms:modified>
</cp:coreProperties>
</file>