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60" w:rsidRPr="00985860" w:rsidRDefault="00985860" w:rsidP="00985860">
      <w:pPr>
        <w:spacing w:line="240" w:lineRule="auto"/>
        <w:jc w:val="center"/>
        <w:rPr>
          <w:rFonts w:eastAsia="Times New Roman" w:cs="Times New Roman"/>
          <w:szCs w:val="24"/>
          <w:lang w:eastAsia="es-CO"/>
        </w:rPr>
      </w:pPr>
      <w:r w:rsidRPr="00985860">
        <w:rPr>
          <w:rFonts w:eastAsia="Times New Roman" w:cs="Times New Roman"/>
          <w:b/>
          <w:bCs/>
          <w:szCs w:val="24"/>
          <w:lang w:eastAsia="es-CO"/>
        </w:rPr>
        <w:t>OFICIO Nº 016243</w:t>
      </w:r>
    </w:p>
    <w:p w:rsidR="00985860" w:rsidRPr="00985860" w:rsidRDefault="00985860" w:rsidP="00985860">
      <w:pPr>
        <w:spacing w:line="240" w:lineRule="auto"/>
        <w:jc w:val="center"/>
        <w:rPr>
          <w:rFonts w:eastAsia="Times New Roman" w:cs="Times New Roman"/>
          <w:szCs w:val="24"/>
          <w:lang w:eastAsia="es-CO"/>
        </w:rPr>
      </w:pPr>
      <w:r w:rsidRPr="00985860">
        <w:rPr>
          <w:rFonts w:eastAsia="Times New Roman" w:cs="Times New Roman"/>
          <w:b/>
          <w:bCs/>
          <w:szCs w:val="24"/>
          <w:lang w:eastAsia="es-CO"/>
        </w:rPr>
        <w:t>21-06-2017</w:t>
      </w:r>
    </w:p>
    <w:p w:rsidR="00985860" w:rsidRPr="00985860" w:rsidRDefault="00985860" w:rsidP="00985860">
      <w:pPr>
        <w:spacing w:line="240" w:lineRule="auto"/>
        <w:jc w:val="center"/>
        <w:rPr>
          <w:rFonts w:eastAsia="Times New Roman" w:cs="Times New Roman"/>
          <w:szCs w:val="24"/>
          <w:lang w:eastAsia="es-CO"/>
        </w:rPr>
      </w:pPr>
      <w:r w:rsidRPr="00985860">
        <w:rPr>
          <w:rFonts w:eastAsia="Times New Roman" w:cs="Times New Roman"/>
          <w:b/>
          <w:bCs/>
          <w:szCs w:val="24"/>
          <w:lang w:eastAsia="es-CO"/>
        </w:rPr>
        <w:t>DIAN</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Subdirección de Gestión Normativa y Doctrina</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Bogotá, D.C.</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100208221-01030</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Señor</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b/>
          <w:bCs/>
          <w:szCs w:val="24"/>
          <w:lang w:eastAsia="es-CO"/>
        </w:rPr>
        <w:t>JUAN CARLOS OBANDO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Coordinador contable y de Impuestos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EMSSANAR ESS</w:t>
      </w:r>
    </w:p>
    <w:p w:rsidR="00985860" w:rsidRPr="00985860" w:rsidRDefault="0094755F" w:rsidP="00985860">
      <w:pPr>
        <w:spacing w:line="240" w:lineRule="auto"/>
        <w:rPr>
          <w:rFonts w:eastAsia="Times New Roman" w:cs="Times New Roman"/>
          <w:szCs w:val="24"/>
          <w:lang w:eastAsia="es-CO"/>
        </w:rPr>
      </w:pPr>
      <w:hyperlink r:id="rId4" w:history="1">
        <w:r w:rsidR="00985860" w:rsidRPr="00985860">
          <w:rPr>
            <w:rFonts w:eastAsia="Times New Roman" w:cs="Times New Roman"/>
            <w:szCs w:val="24"/>
            <w:lang w:eastAsia="es-CO"/>
          </w:rPr>
          <w:t>juancope99@hotmail.com</w:t>
        </w:r>
      </w:hyperlink>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Calle 11 A carrera 33 esquina, Barrio La Aurora</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Pasto, Nariño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proofErr w:type="spellStart"/>
      <w:r w:rsidRPr="00985860">
        <w:rPr>
          <w:rFonts w:eastAsia="Times New Roman" w:cs="Times New Roman"/>
          <w:b/>
          <w:bCs/>
          <w:szCs w:val="24"/>
          <w:lang w:eastAsia="es-CO"/>
        </w:rPr>
        <w:t>Ref</w:t>
      </w:r>
      <w:proofErr w:type="spellEnd"/>
      <w:r w:rsidRPr="00985860">
        <w:rPr>
          <w:rFonts w:eastAsia="Times New Roman" w:cs="Times New Roman"/>
          <w:b/>
          <w:bCs/>
          <w:szCs w:val="24"/>
          <w:lang w:eastAsia="es-CO"/>
        </w:rPr>
        <w:t>:</w:t>
      </w:r>
      <w:r w:rsidRPr="00985860">
        <w:rPr>
          <w:rFonts w:eastAsia="Times New Roman" w:cs="Times New Roman"/>
          <w:szCs w:val="24"/>
          <w:lang w:eastAsia="es-CO"/>
        </w:rPr>
        <w:t> Radicado 100020466 del 08/05/2017</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b/>
          <w:bCs/>
          <w:szCs w:val="24"/>
          <w:lang w:eastAsia="es-CO"/>
        </w:rPr>
        <w:t>Tema:</w:t>
      </w:r>
      <w:r w:rsidRPr="00985860">
        <w:rPr>
          <w:rFonts w:eastAsia="Times New Roman" w:cs="Times New Roman"/>
          <w:szCs w:val="24"/>
          <w:lang w:eastAsia="es-CO"/>
        </w:rPr>
        <w:t> Impuesto Nacional al Consumo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b/>
          <w:bCs/>
          <w:szCs w:val="24"/>
          <w:lang w:eastAsia="es-CO"/>
        </w:rPr>
        <w:t>Descriptores:</w:t>
      </w:r>
      <w:r w:rsidRPr="00985860">
        <w:rPr>
          <w:rFonts w:eastAsia="Times New Roman" w:cs="Times New Roman"/>
          <w:szCs w:val="24"/>
          <w:lang w:eastAsia="es-CO"/>
        </w:rPr>
        <w:t> Impuesto Nacional al Consumo de Bolsas Plásticas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b/>
          <w:bCs/>
          <w:szCs w:val="24"/>
          <w:lang w:eastAsia="es-CO"/>
        </w:rPr>
        <w:t>Fuentes formales:</w:t>
      </w:r>
      <w:r w:rsidRPr="00985860">
        <w:rPr>
          <w:rFonts w:eastAsia="Times New Roman" w:cs="Times New Roman"/>
          <w:szCs w:val="24"/>
          <w:lang w:eastAsia="es-CO"/>
        </w:rPr>
        <w:t> Artículo </w:t>
      </w:r>
      <w:hyperlink r:id="rId5" w:tooltip="Estatuto Tributario CETA" w:history="1">
        <w:r w:rsidRPr="00985860">
          <w:rPr>
            <w:rFonts w:eastAsia="Times New Roman" w:cs="Times New Roman"/>
            <w:szCs w:val="24"/>
            <w:lang w:eastAsia="es-CO"/>
          </w:rPr>
          <w:t>512-15</w:t>
        </w:r>
      </w:hyperlink>
      <w:r w:rsidRPr="00985860">
        <w:rPr>
          <w:rFonts w:eastAsia="Times New Roman" w:cs="Times New Roman"/>
          <w:szCs w:val="24"/>
          <w:lang w:eastAsia="es-CO"/>
        </w:rPr>
        <w:t> y </w:t>
      </w:r>
      <w:hyperlink r:id="rId6" w:tooltip="Estatuto Tributario CETA" w:history="1">
        <w:r w:rsidRPr="00985860">
          <w:rPr>
            <w:rFonts w:eastAsia="Times New Roman" w:cs="Times New Roman"/>
            <w:szCs w:val="24"/>
            <w:lang w:eastAsia="es-CO"/>
          </w:rPr>
          <w:t>512-16</w:t>
        </w:r>
      </w:hyperlink>
      <w:r w:rsidRPr="00985860">
        <w:rPr>
          <w:rFonts w:eastAsia="Times New Roman" w:cs="Times New Roman"/>
          <w:szCs w:val="24"/>
          <w:lang w:eastAsia="es-CO"/>
        </w:rPr>
        <w:t> del Estatuto Tributario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Cordial saludo, Señor Obando: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De conformidad con el artículo 20 del Decreto 4048 de 2008 este despecho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Por medio del escrito de la referencia se consulta sobre cuáles serían las bolsas no sometidas al Impuesto Nacional al Consumo de Bolsas Plásticas y se pregunta si en una red de farmacias que hace entrega de medicamentos a los afiliados del régimen subsidiado en pequeñas bolsas plásticas procede el impuesto.</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Respecto al Impuesto Nacional al Consumo de Bolsas Plásticas, el legislador estableció como hecho generador la entrega a cualquier título de bolsas plásticas con el propósito de cargar o llevar productos adquiridos en los establecimientos de comercio, incluyendo los productos entregados a través de domicilio, a partir del 1 de julio de 2017, en virtud del </w:t>
      </w:r>
      <w:hyperlink r:id="rId7" w:tooltip="Estatuto Tributario CETA" w:history="1">
        <w:r w:rsidRPr="00985860">
          <w:rPr>
            <w:rFonts w:eastAsia="Times New Roman" w:cs="Times New Roman"/>
            <w:szCs w:val="24"/>
            <w:lang w:eastAsia="es-CO"/>
          </w:rPr>
          <w:t>artículo 512-15</w:t>
        </w:r>
      </w:hyperlink>
      <w:r w:rsidRPr="00985860">
        <w:rPr>
          <w:rFonts w:eastAsia="Times New Roman" w:cs="Times New Roman"/>
          <w:szCs w:val="24"/>
          <w:lang w:eastAsia="es-CO"/>
        </w:rPr>
        <w:t> del Estatuto Tributario, adicionado por el artículo 207 de la Ley 1819 de 2016.</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No obstante lo anterior, se señalaron determinadas circunstancias en las cuales este impuesto no se causa, indicadas en el </w:t>
      </w:r>
      <w:hyperlink r:id="rId8" w:tooltip="Estatuto Tributario CETA" w:history="1">
        <w:r w:rsidRPr="00985860">
          <w:rPr>
            <w:rFonts w:eastAsia="Times New Roman" w:cs="Times New Roman"/>
            <w:szCs w:val="24"/>
            <w:lang w:eastAsia="es-CO"/>
          </w:rPr>
          <w:t>artículo 512-16</w:t>
        </w:r>
      </w:hyperlink>
      <w:r w:rsidRPr="00985860">
        <w:rPr>
          <w:rFonts w:eastAsia="Times New Roman" w:cs="Times New Roman"/>
          <w:szCs w:val="24"/>
          <w:lang w:eastAsia="es-CO"/>
        </w:rPr>
        <w:t> del E.T., si:</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ind w:left="180"/>
        <w:rPr>
          <w:rFonts w:eastAsia="Times New Roman" w:cs="Times New Roman"/>
          <w:szCs w:val="24"/>
          <w:lang w:eastAsia="es-CO"/>
        </w:rPr>
      </w:pPr>
      <w:r w:rsidRPr="00985860">
        <w:rPr>
          <w:rFonts w:eastAsia="Times New Roman" w:cs="Times New Roman"/>
          <w:i/>
          <w:iCs/>
          <w:szCs w:val="24"/>
          <w:lang w:eastAsia="es-CO"/>
        </w:rPr>
        <w:t>“ARTÍCULO 208. Adiciónese el </w:t>
      </w:r>
      <w:hyperlink r:id="rId9" w:tooltip="Estatuto Tributario CETA" w:history="1">
        <w:r w:rsidRPr="00985860">
          <w:rPr>
            <w:rFonts w:eastAsia="Times New Roman" w:cs="Times New Roman"/>
            <w:i/>
            <w:iCs/>
            <w:szCs w:val="24"/>
            <w:lang w:eastAsia="es-CO"/>
          </w:rPr>
          <w:t>artículo 512-16</w:t>
        </w:r>
      </w:hyperlink>
      <w:r w:rsidRPr="00985860">
        <w:rPr>
          <w:rFonts w:eastAsia="Times New Roman" w:cs="Times New Roman"/>
          <w:i/>
          <w:iCs/>
          <w:szCs w:val="24"/>
          <w:lang w:eastAsia="es-CO"/>
        </w:rPr>
        <w:t> al Estatuto Tributario el cual quedará así:</w:t>
      </w:r>
    </w:p>
    <w:p w:rsidR="00985860" w:rsidRPr="00985860" w:rsidRDefault="00985860" w:rsidP="00985860">
      <w:pPr>
        <w:spacing w:line="240" w:lineRule="auto"/>
        <w:ind w:left="180"/>
        <w:rPr>
          <w:rFonts w:eastAsia="Times New Roman" w:cs="Times New Roman"/>
          <w:szCs w:val="24"/>
          <w:lang w:eastAsia="es-CO"/>
        </w:rPr>
      </w:pPr>
      <w:r w:rsidRPr="00985860">
        <w:rPr>
          <w:rFonts w:eastAsia="Times New Roman" w:cs="Times New Roman"/>
          <w:i/>
          <w:iCs/>
          <w:szCs w:val="24"/>
          <w:lang w:eastAsia="es-CO"/>
        </w:rPr>
        <w:t> </w:t>
      </w:r>
    </w:p>
    <w:p w:rsidR="00985860" w:rsidRPr="00985860" w:rsidRDefault="0094755F" w:rsidP="00985860">
      <w:pPr>
        <w:spacing w:line="240" w:lineRule="auto"/>
        <w:ind w:left="180"/>
        <w:rPr>
          <w:rFonts w:eastAsia="Times New Roman" w:cs="Times New Roman"/>
          <w:szCs w:val="24"/>
          <w:lang w:eastAsia="es-CO"/>
        </w:rPr>
      </w:pPr>
      <w:hyperlink r:id="rId10" w:tooltip="Estatuto Tributario CETA" w:history="1">
        <w:r w:rsidR="00985860" w:rsidRPr="00985860">
          <w:rPr>
            <w:rFonts w:eastAsia="Times New Roman" w:cs="Times New Roman"/>
            <w:i/>
            <w:iCs/>
            <w:szCs w:val="24"/>
            <w:lang w:eastAsia="es-CO"/>
          </w:rPr>
          <w:t>Artículo 512-16</w:t>
        </w:r>
      </w:hyperlink>
      <w:r w:rsidR="00985860" w:rsidRPr="00985860">
        <w:rPr>
          <w:rFonts w:eastAsia="Times New Roman" w:cs="Times New Roman"/>
          <w:i/>
          <w:iCs/>
          <w:szCs w:val="24"/>
          <w:lang w:eastAsia="es-CO"/>
        </w:rPr>
        <w:t>. Bolsas plásticas que no causan el impuesto. No está sujeta a este impuesto la entrega de las siguientes bolsas plásticas: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i/>
          <w:iCs/>
          <w:szCs w:val="24"/>
          <w:lang w:eastAsia="es-CO"/>
        </w:rPr>
        <w:t> </w:t>
      </w:r>
    </w:p>
    <w:p w:rsidR="00985860" w:rsidRPr="00985860" w:rsidRDefault="00985860" w:rsidP="00985860">
      <w:pPr>
        <w:spacing w:line="240" w:lineRule="auto"/>
        <w:ind w:left="720" w:hanging="360"/>
        <w:rPr>
          <w:rFonts w:eastAsia="Times New Roman" w:cs="Times New Roman"/>
          <w:szCs w:val="24"/>
          <w:lang w:eastAsia="es-CO"/>
        </w:rPr>
      </w:pPr>
      <w:r w:rsidRPr="00985860">
        <w:rPr>
          <w:rFonts w:eastAsia="Times New Roman" w:cs="Times New Roman"/>
          <w:i/>
          <w:iCs/>
          <w:szCs w:val="24"/>
          <w:lang w:eastAsia="es-CO"/>
        </w:rPr>
        <w:t>1.</w:t>
      </w:r>
      <w:r w:rsidRPr="00985860">
        <w:rPr>
          <w:rFonts w:eastAsia="Times New Roman" w:cs="Times New Roman"/>
          <w:szCs w:val="24"/>
          <w:lang w:eastAsia="es-CO"/>
        </w:rPr>
        <w:t>     </w:t>
      </w:r>
      <w:r w:rsidRPr="00985860">
        <w:rPr>
          <w:rFonts w:eastAsia="Times New Roman" w:cs="Times New Roman"/>
          <w:i/>
          <w:iCs/>
          <w:szCs w:val="24"/>
          <w:lang w:eastAsia="es-CO"/>
        </w:rPr>
        <w:t>Aquellas cuya finalidad no sea cargar o llevar productos adquiridos en el establecimiento que le entrega.</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i/>
          <w:iCs/>
          <w:szCs w:val="24"/>
          <w:lang w:eastAsia="es-CO"/>
        </w:rPr>
        <w:t> </w:t>
      </w:r>
    </w:p>
    <w:p w:rsidR="00985860" w:rsidRPr="00985860" w:rsidRDefault="00985860" w:rsidP="00985860">
      <w:pPr>
        <w:spacing w:line="240" w:lineRule="auto"/>
        <w:ind w:left="720" w:hanging="360"/>
        <w:rPr>
          <w:rFonts w:eastAsia="Times New Roman" w:cs="Times New Roman"/>
          <w:szCs w:val="24"/>
          <w:lang w:eastAsia="es-CO"/>
        </w:rPr>
      </w:pPr>
      <w:r w:rsidRPr="00985860">
        <w:rPr>
          <w:rFonts w:eastAsia="Times New Roman" w:cs="Times New Roman"/>
          <w:i/>
          <w:iCs/>
          <w:szCs w:val="24"/>
          <w:lang w:eastAsia="es-CO"/>
        </w:rPr>
        <w:lastRenderedPageBreak/>
        <w:t>2.</w:t>
      </w:r>
      <w:r w:rsidRPr="00985860">
        <w:rPr>
          <w:rFonts w:eastAsia="Times New Roman" w:cs="Times New Roman"/>
          <w:szCs w:val="24"/>
          <w:lang w:eastAsia="es-CO"/>
        </w:rPr>
        <w:t>     </w:t>
      </w:r>
      <w:r w:rsidRPr="00985860">
        <w:rPr>
          <w:rFonts w:eastAsia="Times New Roman" w:cs="Times New Roman"/>
          <w:i/>
          <w:iCs/>
          <w:szCs w:val="24"/>
          <w:lang w:eastAsia="es-CO"/>
        </w:rPr>
        <w:t>Las que sean utilizadas como material de empaque de los productos pre-empacados.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i/>
          <w:iCs/>
          <w:szCs w:val="24"/>
          <w:lang w:eastAsia="es-CO"/>
        </w:rPr>
        <w:t> </w:t>
      </w:r>
    </w:p>
    <w:p w:rsidR="00985860" w:rsidRPr="00985860" w:rsidRDefault="00985860" w:rsidP="00985860">
      <w:pPr>
        <w:spacing w:line="240" w:lineRule="auto"/>
        <w:ind w:left="720" w:hanging="360"/>
        <w:rPr>
          <w:rFonts w:eastAsia="Times New Roman" w:cs="Times New Roman"/>
          <w:szCs w:val="24"/>
          <w:lang w:eastAsia="es-CO"/>
        </w:rPr>
      </w:pPr>
      <w:r w:rsidRPr="00985860">
        <w:rPr>
          <w:rFonts w:eastAsia="Times New Roman" w:cs="Times New Roman"/>
          <w:i/>
          <w:iCs/>
          <w:szCs w:val="24"/>
          <w:lang w:eastAsia="es-CO"/>
        </w:rPr>
        <w:t>3.</w:t>
      </w:r>
      <w:r w:rsidRPr="00985860">
        <w:rPr>
          <w:rFonts w:eastAsia="Times New Roman" w:cs="Times New Roman"/>
          <w:szCs w:val="24"/>
          <w:lang w:eastAsia="es-CO"/>
        </w:rPr>
        <w:t>     </w:t>
      </w:r>
      <w:r w:rsidRPr="00985860">
        <w:rPr>
          <w:rFonts w:eastAsia="Times New Roman" w:cs="Times New Roman"/>
          <w:i/>
          <w:iCs/>
          <w:szCs w:val="24"/>
          <w:lang w:eastAsia="es-CO"/>
        </w:rPr>
        <w:t>Las biodegradables certificadas como tal por el Ministerio de Medio Ambiente y Desarrollo Sostenible, con base en la reglamentación que establezca el Gobierno nacional.</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i/>
          <w:iCs/>
          <w:szCs w:val="24"/>
          <w:lang w:eastAsia="es-CO"/>
        </w:rPr>
        <w:t> </w:t>
      </w:r>
    </w:p>
    <w:p w:rsidR="00985860" w:rsidRPr="00985860" w:rsidRDefault="00985860" w:rsidP="00985860">
      <w:pPr>
        <w:spacing w:line="240" w:lineRule="auto"/>
        <w:ind w:left="720" w:hanging="360"/>
        <w:rPr>
          <w:rFonts w:eastAsia="Times New Roman" w:cs="Times New Roman"/>
          <w:szCs w:val="24"/>
          <w:lang w:eastAsia="es-CO"/>
        </w:rPr>
      </w:pPr>
      <w:r w:rsidRPr="00985860">
        <w:rPr>
          <w:rFonts w:eastAsia="Times New Roman" w:cs="Times New Roman"/>
          <w:i/>
          <w:iCs/>
          <w:szCs w:val="24"/>
          <w:lang w:eastAsia="es-CO"/>
        </w:rPr>
        <w:t>4.</w:t>
      </w:r>
      <w:r w:rsidRPr="00985860">
        <w:rPr>
          <w:rFonts w:eastAsia="Times New Roman" w:cs="Times New Roman"/>
          <w:szCs w:val="24"/>
          <w:lang w:eastAsia="es-CO"/>
        </w:rPr>
        <w:t>     </w:t>
      </w:r>
      <w:r w:rsidRPr="00985860">
        <w:rPr>
          <w:rFonts w:eastAsia="Times New Roman" w:cs="Times New Roman"/>
          <w:i/>
          <w:iCs/>
          <w:szCs w:val="24"/>
          <w:lang w:eastAsia="es-CO"/>
        </w:rPr>
        <w:t>Las bolsas reutilizables que conforme a la reglamentación del Gobierno nacional posean unas características técnicas y mecánicas que permiten ser usadas varias veces, sin que para ello requieran procesos de transformación."</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De la norma tributaria precitada, se encuentra taxativamente señalado las cuatro circunstancias posibles para que no se genere el tributo. Su ejemplo, no se adecua a estos supuestos legales, ya que esas bolsas plásticas no hacen parte del producto, en este caso medicamentos y en cambio se emplean con el objetivo de llevarlos causando así el hecho generador del impuesto, creado con el propósito de adoptar medidas para desincentivar el uso del material plástico que reduzcan los factores del deterioro ambiental, brindando otras alternativas como lo son las bolsas biodegradables o reutilizarles, sin perjuicio de la reglamentación que expida el Gobierno Nacional, en virtud de los numerales 3 y 4, </w:t>
      </w:r>
      <w:hyperlink r:id="rId11" w:tooltip="Estatuto Tributario CETA" w:history="1">
        <w:r w:rsidRPr="00985860">
          <w:rPr>
            <w:rFonts w:eastAsia="Times New Roman" w:cs="Times New Roman"/>
            <w:szCs w:val="24"/>
            <w:lang w:eastAsia="es-CO"/>
          </w:rPr>
          <w:t>artículo 512-16</w:t>
        </w:r>
      </w:hyperlink>
      <w:r w:rsidRPr="00985860">
        <w:rPr>
          <w:rFonts w:eastAsia="Times New Roman" w:cs="Times New Roman"/>
          <w:szCs w:val="24"/>
          <w:lang w:eastAsia="es-CO"/>
        </w:rPr>
        <w:t> del E.T.</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Por otra parte, el Ministerio de Ambiente y Desarrollo Sostenible con el propósito de regular los instrumentos administrativos y mecanismos necesarios para la prevención y el control de los factores de deterioro ambiental, expidió la Resolución No. 0668 del 28 de abril de 2016: “Por la cual se reglamenta el uso racional de bolsas plásticas y se adoptan otras disposiciones” en la cual el artículo 2, capítulo 1, define bolsa plástica prescindible, entre otros conceptos, así:</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ind w:left="180"/>
        <w:rPr>
          <w:rFonts w:eastAsia="Times New Roman" w:cs="Times New Roman"/>
          <w:szCs w:val="24"/>
          <w:lang w:eastAsia="es-CO"/>
        </w:rPr>
      </w:pPr>
      <w:r w:rsidRPr="00985860">
        <w:rPr>
          <w:rFonts w:eastAsia="Times New Roman" w:cs="Times New Roman"/>
          <w:i/>
          <w:iCs/>
          <w:szCs w:val="24"/>
          <w:lang w:eastAsia="es-CO"/>
        </w:rPr>
        <w:t>"</w:t>
      </w:r>
      <w:r w:rsidRPr="00985860">
        <w:rPr>
          <w:rFonts w:eastAsia="Times New Roman" w:cs="Times New Roman"/>
          <w:b/>
          <w:bCs/>
          <w:i/>
          <w:iCs/>
          <w:szCs w:val="24"/>
          <w:lang w:eastAsia="es-CO"/>
        </w:rPr>
        <w:t>Bolsa Plástica prescindible: </w:t>
      </w:r>
      <w:r w:rsidRPr="00985860">
        <w:rPr>
          <w:rFonts w:eastAsia="Times New Roman" w:cs="Times New Roman"/>
          <w:i/>
          <w:iCs/>
          <w:szCs w:val="24"/>
          <w:lang w:eastAsia="es-CO"/>
        </w:rPr>
        <w:t>Bolsa plástica distribuida en puntos de pago para transportar productos o mercancías y que cumple con alguna de las siguientes condiciones </w:t>
      </w:r>
      <w:r w:rsidRPr="00985860">
        <w:rPr>
          <w:rFonts w:eastAsia="Times New Roman" w:cs="Times New Roman"/>
          <w:b/>
          <w:bCs/>
          <w:i/>
          <w:iCs/>
          <w:szCs w:val="24"/>
          <w:lang w:eastAsia="es-CO"/>
        </w:rPr>
        <w:t>a)</w:t>
      </w:r>
      <w:r w:rsidRPr="00985860">
        <w:rPr>
          <w:rFonts w:eastAsia="Times New Roman" w:cs="Times New Roman"/>
          <w:i/>
          <w:iCs/>
          <w:szCs w:val="24"/>
          <w:lang w:eastAsia="es-CO"/>
        </w:rPr>
        <w:t> bolsas plásticas cuya área ser inferior a 30 cm x 30 cm, o </w:t>
      </w:r>
      <w:r w:rsidRPr="00985860">
        <w:rPr>
          <w:rFonts w:eastAsia="Times New Roman" w:cs="Times New Roman"/>
          <w:b/>
          <w:bCs/>
          <w:i/>
          <w:iCs/>
          <w:szCs w:val="24"/>
          <w:lang w:eastAsia="es-CO"/>
        </w:rPr>
        <w:t>B)</w:t>
      </w:r>
      <w:r w:rsidRPr="00985860">
        <w:rPr>
          <w:rFonts w:eastAsia="Times New Roman" w:cs="Times New Roman"/>
          <w:i/>
          <w:iCs/>
          <w:szCs w:val="24"/>
          <w:lang w:eastAsia="es-CO"/>
        </w:rPr>
        <w:t> bolsas plásticas cuyo calibre sea inferior a 0.9 milésimas de pulgada o que el calibre de la bolsa no sea suficiente para atender la capacidad de carga indicada en la bolsa.”</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En este contexto, dicha resolución en el artículo 12, capítulo IV que contiene las disposiciones finales, estableció las prohibiciones en la materia y dentro de las cuales se resalta la siguiente:</w:t>
      </w:r>
    </w:p>
    <w:p w:rsidR="00985860" w:rsidRPr="00985860" w:rsidRDefault="00985860" w:rsidP="00985860">
      <w:pPr>
        <w:spacing w:line="240" w:lineRule="auto"/>
        <w:ind w:left="180"/>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ind w:left="180"/>
        <w:rPr>
          <w:rFonts w:eastAsia="Times New Roman" w:cs="Times New Roman"/>
          <w:szCs w:val="24"/>
          <w:lang w:eastAsia="es-CO"/>
        </w:rPr>
      </w:pPr>
      <w:r w:rsidRPr="00985860">
        <w:rPr>
          <w:rFonts w:eastAsia="Times New Roman" w:cs="Times New Roman"/>
          <w:i/>
          <w:iCs/>
          <w:szCs w:val="24"/>
          <w:lang w:eastAsia="es-CO"/>
        </w:rPr>
        <w:t>"c. Distribuir bolsas prescindibles en los puntos de pago a partir del 30 de diciembre de 2016."</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De la norma ambiental referida, se puede afirmar que actualmente se encuentra vigente desde el año 2016 prohibición expresa respecto a la distribución de bolsas plásticas que por sus dimensiones y capacidad se consideran prescindibles.</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Atentamente,</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b/>
          <w:bCs/>
          <w:szCs w:val="24"/>
          <w:lang w:eastAsia="es-CO"/>
        </w:rPr>
        <w:t>PEDRO PABLO CONTRERAS CAMARGO</w:t>
      </w:r>
    </w:p>
    <w:p w:rsid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Subdirector de Gestión Normativa y Doctrina</w:t>
      </w:r>
    </w:p>
    <w:p w:rsidR="0094755F" w:rsidRPr="00985860" w:rsidRDefault="0094755F" w:rsidP="00985860">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w:t>
      </w:r>
      <w:bookmarkStart w:id="0" w:name="_GoBack"/>
      <w:bookmarkEnd w:id="0"/>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85860" w:rsidRPr="00985860" w:rsidRDefault="00985860" w:rsidP="00985860">
      <w:pPr>
        <w:spacing w:line="240" w:lineRule="auto"/>
        <w:rPr>
          <w:rFonts w:eastAsia="Times New Roman" w:cs="Times New Roman"/>
          <w:szCs w:val="24"/>
          <w:lang w:eastAsia="es-CO"/>
        </w:rPr>
      </w:pPr>
      <w:r w:rsidRPr="00985860">
        <w:rPr>
          <w:rFonts w:eastAsia="Times New Roman" w:cs="Times New Roman"/>
          <w:szCs w:val="24"/>
          <w:lang w:eastAsia="es-CO"/>
        </w:rPr>
        <w:t> </w:t>
      </w:r>
    </w:p>
    <w:p w:rsidR="00961BFA" w:rsidRPr="00985860" w:rsidRDefault="00961BFA">
      <w:pPr>
        <w:rPr>
          <w:rFonts w:cs="Times New Roman"/>
          <w:szCs w:val="24"/>
        </w:rPr>
      </w:pPr>
    </w:p>
    <w:sectPr w:rsidR="00961BFA" w:rsidRPr="0098586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60"/>
    <w:rsid w:val="0029351E"/>
    <w:rsid w:val="0094755F"/>
    <w:rsid w:val="00961BFA"/>
    <w:rsid w:val="0098586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5713C-C5B1-494E-A856-3CC6E97F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52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30" TargetMode="External"/><Relationship Id="rId11" Type="http://schemas.openxmlformats.org/officeDocument/2006/relationships/hyperlink" Target="https://www.ceta.org.co/html/vista_de_un_articulo.asp?Norma=42530" TargetMode="External"/><Relationship Id="rId5" Type="http://schemas.openxmlformats.org/officeDocument/2006/relationships/hyperlink" Target="https://www.ceta.org.co/html/vista_de_un_articulo.asp?Norma=42529" TargetMode="External"/><Relationship Id="rId10" Type="http://schemas.openxmlformats.org/officeDocument/2006/relationships/hyperlink" Target="https://www.ceta.org.co/html/vista_de_un_articulo.asp?Norma=42530" TargetMode="External"/><Relationship Id="rId4" Type="http://schemas.openxmlformats.org/officeDocument/2006/relationships/hyperlink" Target="mailto:juancope99@hotmail.com" TargetMode="External"/><Relationship Id="rId9" Type="http://schemas.openxmlformats.org/officeDocument/2006/relationships/hyperlink" Target="https://www.ceta.org.co/html/vista_de_un_articulo.asp?Norma=425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2017-08-26T02:38:00Z</dcterms:created>
  <dcterms:modified xsi:type="dcterms:W3CDTF">2017-09-13T12:10:00Z</dcterms:modified>
</cp:coreProperties>
</file>