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214" w:rsidRPr="00C51214" w:rsidRDefault="00C51214" w:rsidP="00C51214">
      <w:pPr>
        <w:spacing w:line="240" w:lineRule="auto"/>
        <w:jc w:val="center"/>
        <w:rPr>
          <w:rFonts w:eastAsia="Times New Roman" w:cs="Times New Roman"/>
          <w:szCs w:val="24"/>
          <w:lang w:eastAsia="es-CO"/>
        </w:rPr>
      </w:pPr>
      <w:r w:rsidRPr="00C51214">
        <w:rPr>
          <w:rFonts w:eastAsia="Times New Roman" w:cs="Times New Roman"/>
          <w:b/>
          <w:bCs/>
          <w:szCs w:val="24"/>
          <w:lang w:eastAsia="es-CO"/>
        </w:rPr>
        <w:t>OFICIO Nº 014577</w:t>
      </w:r>
    </w:p>
    <w:p w:rsidR="00C51214" w:rsidRPr="00C51214" w:rsidRDefault="00C51214" w:rsidP="00C51214">
      <w:pPr>
        <w:spacing w:line="240" w:lineRule="auto"/>
        <w:jc w:val="center"/>
        <w:rPr>
          <w:rFonts w:eastAsia="Times New Roman" w:cs="Times New Roman"/>
          <w:szCs w:val="24"/>
          <w:lang w:eastAsia="es-CO"/>
        </w:rPr>
      </w:pPr>
      <w:r w:rsidRPr="00C51214">
        <w:rPr>
          <w:rFonts w:eastAsia="Times New Roman" w:cs="Times New Roman"/>
          <w:b/>
          <w:bCs/>
          <w:szCs w:val="24"/>
          <w:lang w:eastAsia="es-CO"/>
        </w:rPr>
        <w:t>07-06-2017</w:t>
      </w:r>
    </w:p>
    <w:p w:rsidR="00C51214" w:rsidRPr="00C51214" w:rsidRDefault="00C51214" w:rsidP="00C51214">
      <w:pPr>
        <w:spacing w:line="240" w:lineRule="auto"/>
        <w:jc w:val="center"/>
        <w:rPr>
          <w:rFonts w:eastAsia="Times New Roman" w:cs="Times New Roman"/>
          <w:szCs w:val="24"/>
          <w:lang w:eastAsia="es-CO"/>
        </w:rPr>
      </w:pPr>
      <w:r w:rsidRPr="00C51214">
        <w:rPr>
          <w:rFonts w:eastAsia="Times New Roman" w:cs="Times New Roman"/>
          <w:b/>
          <w:bCs/>
          <w:szCs w:val="24"/>
          <w:lang w:eastAsia="es-CO"/>
        </w:rPr>
        <w:t>DIAN</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Subdirección de Gestión Normativa y Doctrina</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Bogotá, D.C. </w:t>
      </w:r>
      <w:bookmarkStart w:id="0" w:name="_GoBack"/>
      <w:bookmarkEnd w:id="0"/>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b/>
          <w:bCs/>
          <w:szCs w:val="24"/>
          <w:lang w:eastAsia="es-CO"/>
        </w:rPr>
        <w:t>100208221-</w:t>
      </w:r>
      <w:proofErr w:type="gramStart"/>
      <w:r w:rsidRPr="00C51214">
        <w:rPr>
          <w:rFonts w:eastAsia="Times New Roman" w:cs="Times New Roman"/>
          <w:szCs w:val="24"/>
          <w:lang w:eastAsia="es-CO"/>
        </w:rPr>
        <w:t>  000998</w:t>
      </w:r>
      <w:proofErr w:type="gramEnd"/>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Señora:</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b/>
          <w:bCs/>
          <w:szCs w:val="24"/>
          <w:lang w:eastAsia="es-CO"/>
        </w:rPr>
        <w:t>IVETTE AZUCENA CUESTA SEGURA.</w:t>
      </w:r>
    </w:p>
    <w:p w:rsidR="00C51214" w:rsidRPr="00C51214" w:rsidRDefault="00C51214" w:rsidP="00C51214">
      <w:pPr>
        <w:spacing w:line="240" w:lineRule="auto"/>
        <w:rPr>
          <w:rFonts w:eastAsia="Times New Roman" w:cs="Times New Roman"/>
          <w:szCs w:val="24"/>
          <w:lang w:eastAsia="es-CO"/>
        </w:rPr>
      </w:pPr>
      <w:hyperlink r:id="rId4" w:history="1">
        <w:proofErr w:type="spellStart"/>
        <w:r w:rsidRPr="00C51214">
          <w:rPr>
            <w:rFonts w:eastAsia="Times New Roman" w:cs="Times New Roman"/>
            <w:szCs w:val="24"/>
            <w:lang w:eastAsia="es-CO"/>
          </w:rPr>
          <w:t>Ivette.cuesta@uniminuto.edu</w:t>
        </w:r>
        <w:proofErr w:type="spellEnd"/>
      </w:hyperlink>
      <w:r w:rsidRPr="00C51214">
        <w:rPr>
          <w:rFonts w:eastAsia="Times New Roman" w:cs="Times New Roman"/>
          <w:szCs w:val="24"/>
          <w:lang w:eastAsia="es-CO"/>
        </w:rPr>
        <w:t> (Sic)</w:t>
      </w:r>
    </w:p>
    <w:p w:rsidR="00C51214" w:rsidRPr="00C51214" w:rsidRDefault="00C51214" w:rsidP="00C51214">
      <w:pPr>
        <w:spacing w:line="240" w:lineRule="auto"/>
        <w:rPr>
          <w:rFonts w:eastAsia="Times New Roman" w:cs="Times New Roman"/>
          <w:szCs w:val="24"/>
          <w:lang w:eastAsia="es-CO"/>
        </w:rPr>
      </w:pPr>
      <w:proofErr w:type="spellStart"/>
      <w:r w:rsidRPr="00C51214">
        <w:rPr>
          <w:rFonts w:eastAsia="Times New Roman" w:cs="Times New Roman"/>
          <w:szCs w:val="24"/>
          <w:lang w:eastAsia="es-CO"/>
        </w:rPr>
        <w:t>Uniminuto</w:t>
      </w:r>
      <w:proofErr w:type="spellEnd"/>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CALLE 81B 72B -70</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Bogotá D.C.</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proofErr w:type="spellStart"/>
      <w:r w:rsidRPr="00C51214">
        <w:rPr>
          <w:rFonts w:eastAsia="Times New Roman" w:cs="Times New Roman"/>
          <w:b/>
          <w:bCs/>
          <w:szCs w:val="24"/>
          <w:lang w:eastAsia="es-CO"/>
        </w:rPr>
        <w:t>Ref</w:t>
      </w:r>
      <w:proofErr w:type="spellEnd"/>
      <w:r w:rsidRPr="00C51214">
        <w:rPr>
          <w:rFonts w:eastAsia="Times New Roman" w:cs="Times New Roman"/>
          <w:b/>
          <w:bCs/>
          <w:szCs w:val="24"/>
          <w:lang w:eastAsia="es-CO"/>
        </w:rPr>
        <w:t>:</w:t>
      </w:r>
      <w:r w:rsidRPr="00C51214">
        <w:rPr>
          <w:rFonts w:eastAsia="Times New Roman" w:cs="Times New Roman"/>
          <w:szCs w:val="24"/>
          <w:lang w:eastAsia="es-CO"/>
        </w:rPr>
        <w:t> Radicado 100013993 del 31/03/2017</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b/>
          <w:bCs/>
          <w:szCs w:val="24"/>
          <w:lang w:eastAsia="es-CO"/>
        </w:rPr>
        <w:t>Tema  </w:t>
      </w:r>
      <w:r w:rsidRPr="00C51214">
        <w:rPr>
          <w:rFonts w:eastAsia="Times New Roman" w:cs="Times New Roman"/>
          <w:szCs w:val="24"/>
          <w:lang w:eastAsia="es-CO"/>
        </w:rPr>
        <w:t>                        Retención en la fuente</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b/>
          <w:bCs/>
          <w:szCs w:val="24"/>
          <w:lang w:eastAsia="es-CO"/>
        </w:rPr>
        <w:t>Descriptores </w:t>
      </w:r>
      <w:r w:rsidRPr="00C51214">
        <w:rPr>
          <w:rFonts w:eastAsia="Times New Roman" w:cs="Times New Roman"/>
          <w:szCs w:val="24"/>
          <w:lang w:eastAsia="es-CO"/>
        </w:rPr>
        <w:t>            Procedimiento 2 para Retención de Ingresos Laborales</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b/>
          <w:bCs/>
          <w:szCs w:val="24"/>
          <w:lang w:eastAsia="es-CO"/>
        </w:rPr>
        <w:t>Fuentes formales</w:t>
      </w:r>
      <w:r w:rsidRPr="00C51214">
        <w:rPr>
          <w:rFonts w:eastAsia="Times New Roman" w:cs="Times New Roman"/>
          <w:szCs w:val="24"/>
          <w:lang w:eastAsia="es-CO"/>
        </w:rPr>
        <w:t>      Ley 1819 de 2016 arts. 14 y 18; Estatuto Tributario arts. </w:t>
      </w:r>
      <w:hyperlink r:id="rId5" w:tooltip="Estatuto Tributario CETA" w:history="1">
        <w:r w:rsidRPr="00C51214">
          <w:rPr>
            <w:rFonts w:eastAsia="Times New Roman" w:cs="Times New Roman"/>
            <w:szCs w:val="24"/>
            <w:lang w:eastAsia="es-CO"/>
          </w:rPr>
          <w:t>56</w:t>
        </w:r>
      </w:hyperlink>
      <w:r w:rsidRPr="00C51214">
        <w:rPr>
          <w:rFonts w:eastAsia="Times New Roman" w:cs="Times New Roman"/>
          <w:szCs w:val="24"/>
          <w:lang w:eastAsia="es-CO"/>
        </w:rPr>
        <w:t>, </w:t>
      </w:r>
      <w:hyperlink r:id="rId6" w:tooltip="Estatuto Tributario CETA" w:history="1">
        <w:r w:rsidRPr="00C51214">
          <w:rPr>
            <w:rFonts w:eastAsia="Times New Roman" w:cs="Times New Roman"/>
            <w:szCs w:val="24"/>
            <w:lang w:eastAsia="es-CO"/>
          </w:rPr>
          <w:t>386</w:t>
        </w:r>
      </w:hyperlink>
      <w:r w:rsidRPr="00C51214">
        <w:rPr>
          <w:rFonts w:eastAsia="Times New Roman" w:cs="Times New Roman"/>
          <w:szCs w:val="24"/>
          <w:lang w:eastAsia="es-CO"/>
        </w:rPr>
        <w:t> y </w:t>
      </w:r>
      <w:hyperlink r:id="rId7" w:tooltip="Estatuto Tributario CETA" w:history="1">
        <w:r w:rsidRPr="00C51214">
          <w:rPr>
            <w:rFonts w:eastAsia="Times New Roman" w:cs="Times New Roman"/>
            <w:szCs w:val="24"/>
            <w:lang w:eastAsia="es-CO"/>
          </w:rPr>
          <w:t>388</w:t>
        </w:r>
      </w:hyperlink>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Cordial saludo, Sra. Ivette Azucena:</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Conforme con el artículo 20 del Decreto 4048 es función de esta Subdirección absolver de modo general las consultas escritas que se formulen sobre interpretación y aplicación de las normas tributarias de carácter nacional, aduaneras y cambiarias en lo de competencia de esta entidad.</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entidades o dependencias ni juzgar o calificar las decisiones tomadas en las mismas.</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Hechas las observaciones, procede mencionar que la consulta se atenderá en sentido general y concierne con la aplicación del procedimiento 2 en relación con los aportes obligatorios al sistema general de seguridad social en salud y pensiones conforme lo inicialmente contextualizado.</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Expone la consultante que la reforma tributaria de la Ley 1819 de 2016 dispuso la condición de ingresos no constitutivos de renta ni de ganancia ocasional de los aportes obligatorios en salud para efectos de la retención en salarios y refiere al Concepto 38923 de 2013 para luego consultar si en el procedimiento 2 para el primer semestre de 2018 se deberán tomar los aportes obligatorios en salud realizados en el año 2016 o los efectuados entre el 1° de diciembre de 2016 y el 30 de noviembre de 2017, consulta que se formula en los siguientes términos:</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Sobre el particular es necesario mencionar que a partir de la vigencia de la Ley 1819 de 2016, de acuerdo con el artículo 14, modificatorio de</w:t>
      </w:r>
      <w:proofErr w:type="gramStart"/>
      <w:r w:rsidRPr="00C51214">
        <w:rPr>
          <w:rFonts w:eastAsia="Times New Roman" w:cs="Times New Roman"/>
          <w:szCs w:val="24"/>
          <w:lang w:eastAsia="es-CO"/>
        </w:rPr>
        <w:t>  (</w:t>
      </w:r>
      <w:proofErr w:type="gramEnd"/>
      <w:r w:rsidRPr="00C51214">
        <w:rPr>
          <w:rFonts w:eastAsia="Times New Roman" w:cs="Times New Roman"/>
          <w:szCs w:val="24"/>
          <w:lang w:eastAsia="es-CO"/>
        </w:rPr>
        <w:t>Sic) </w:t>
      </w:r>
      <w:hyperlink r:id="rId8" w:tooltip="Estatuto Tributario CETA" w:history="1">
        <w:r w:rsidRPr="00C51214">
          <w:rPr>
            <w:rFonts w:eastAsia="Times New Roman" w:cs="Times New Roman"/>
            <w:szCs w:val="24"/>
            <w:lang w:eastAsia="es-CO"/>
          </w:rPr>
          <w:t>artículo 56</w:t>
        </w:r>
      </w:hyperlink>
      <w:r w:rsidRPr="00C51214">
        <w:rPr>
          <w:rFonts w:eastAsia="Times New Roman" w:cs="Times New Roman"/>
          <w:szCs w:val="24"/>
          <w:lang w:eastAsia="es-CO"/>
        </w:rPr>
        <w:t> del Estatuto Tributario, los aportes en salud se consideran ingresos no constitutivos de renta ni ganancia ocasional.</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ind w:left="180"/>
        <w:rPr>
          <w:rFonts w:eastAsia="Times New Roman" w:cs="Times New Roman"/>
          <w:szCs w:val="24"/>
          <w:lang w:eastAsia="es-CO"/>
        </w:rPr>
      </w:pPr>
      <w:hyperlink r:id="rId9" w:tooltip="Estatuto Tributario CETA" w:history="1">
        <w:r w:rsidRPr="00C51214">
          <w:rPr>
            <w:rFonts w:eastAsia="Times New Roman" w:cs="Times New Roman"/>
            <w:b/>
            <w:bCs/>
            <w:szCs w:val="24"/>
            <w:lang w:eastAsia="es-CO"/>
          </w:rPr>
          <w:t>ARTÍCULO 56</w:t>
        </w:r>
      </w:hyperlink>
      <w:r w:rsidRPr="00C51214">
        <w:rPr>
          <w:rFonts w:eastAsia="Times New Roman" w:cs="Times New Roman"/>
          <w:b/>
          <w:bCs/>
          <w:i/>
          <w:iCs/>
          <w:szCs w:val="24"/>
          <w:lang w:eastAsia="es-CO"/>
        </w:rPr>
        <w:t>. APORTES OBLIGATORIOS AL SISTEMA GENERAL DE SALUD</w:t>
      </w:r>
      <w:r w:rsidRPr="00C51214">
        <w:rPr>
          <w:rFonts w:eastAsia="Times New Roman" w:cs="Times New Roman"/>
          <w:b/>
          <w:bCs/>
          <w:szCs w:val="24"/>
          <w:lang w:eastAsia="es-CO"/>
        </w:rPr>
        <w:t>.</w:t>
      </w:r>
      <w:r w:rsidRPr="00C51214">
        <w:rPr>
          <w:rFonts w:eastAsia="Times New Roman" w:cs="Times New Roman"/>
          <w:szCs w:val="24"/>
          <w:lang w:eastAsia="es-CO"/>
        </w:rPr>
        <w:t xml:space="preserve">  &lt;Artículo adicionado por el artículo 14 de la Ley 1819 de 2016&gt; Los aportes obligatorios que efectúen los trabajadores, empleadores y afiliados al Sistema General de </w:t>
      </w:r>
      <w:r w:rsidRPr="00C51214">
        <w:rPr>
          <w:rFonts w:eastAsia="Times New Roman" w:cs="Times New Roman"/>
          <w:szCs w:val="24"/>
          <w:lang w:eastAsia="es-CO"/>
        </w:rPr>
        <w:lastRenderedPageBreak/>
        <w:t>Seguridad Social en Salud </w:t>
      </w:r>
      <w:r w:rsidRPr="00C51214">
        <w:rPr>
          <w:rFonts w:eastAsia="Times New Roman" w:cs="Times New Roman"/>
          <w:szCs w:val="24"/>
          <w:u w:val="single"/>
          <w:lang w:eastAsia="es-CO"/>
        </w:rPr>
        <w:t>no harán parte de la base para aplicar la retención en la fuente por salarios, y serán considerados como un ingreso no constitutivo de renta ni de ganancia ocasional.</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A su vez el </w:t>
      </w:r>
      <w:hyperlink r:id="rId10" w:tooltip="Estatuto Tributario CETA" w:history="1">
        <w:r w:rsidRPr="00C51214">
          <w:rPr>
            <w:rFonts w:eastAsia="Times New Roman" w:cs="Times New Roman"/>
            <w:szCs w:val="24"/>
            <w:lang w:eastAsia="es-CO"/>
          </w:rPr>
          <w:t>artículo 386</w:t>
        </w:r>
      </w:hyperlink>
      <w:r w:rsidRPr="00C51214">
        <w:rPr>
          <w:rFonts w:eastAsia="Times New Roman" w:cs="Times New Roman"/>
          <w:szCs w:val="24"/>
          <w:lang w:eastAsia="es-CO"/>
        </w:rPr>
        <w:t> del Estatuto Tributario, que se refiere al procedimiento No. 2 de retenciones establece:</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ind w:left="180"/>
        <w:rPr>
          <w:rFonts w:eastAsia="Times New Roman" w:cs="Times New Roman"/>
          <w:szCs w:val="24"/>
          <w:lang w:eastAsia="es-CO"/>
        </w:rPr>
      </w:pPr>
      <w:hyperlink r:id="rId11" w:tooltip="Estatuto Tributario CETA" w:history="1">
        <w:r w:rsidRPr="00C51214">
          <w:rPr>
            <w:rFonts w:eastAsia="Times New Roman" w:cs="Times New Roman"/>
            <w:b/>
            <w:bCs/>
            <w:szCs w:val="24"/>
            <w:lang w:eastAsia="es-CO"/>
          </w:rPr>
          <w:t>ARTICULO 386</w:t>
        </w:r>
      </w:hyperlink>
      <w:r w:rsidRPr="00C51214">
        <w:rPr>
          <w:rFonts w:eastAsia="Times New Roman" w:cs="Times New Roman"/>
          <w:b/>
          <w:bCs/>
          <w:szCs w:val="24"/>
          <w:lang w:eastAsia="es-CO"/>
        </w:rPr>
        <w:t>. SEGUNDA OPCIÓN FRENTE A LA RETENCIÓN.</w:t>
      </w:r>
      <w:r w:rsidRPr="00C51214">
        <w:rPr>
          <w:rFonts w:eastAsia="Times New Roman" w:cs="Times New Roman"/>
          <w:szCs w:val="24"/>
          <w:lang w:eastAsia="es-CO"/>
        </w:rPr>
        <w:t> El retenedor podrá igualmente aplicar el siguiente sistema:</w:t>
      </w:r>
    </w:p>
    <w:p w:rsidR="00C51214" w:rsidRPr="00C51214" w:rsidRDefault="00C51214" w:rsidP="00C51214">
      <w:pPr>
        <w:spacing w:line="240" w:lineRule="auto"/>
        <w:ind w:left="180"/>
        <w:rPr>
          <w:rFonts w:eastAsia="Times New Roman" w:cs="Times New Roman"/>
          <w:szCs w:val="24"/>
          <w:lang w:eastAsia="es-CO"/>
        </w:rPr>
      </w:pPr>
      <w:r w:rsidRPr="00C51214">
        <w:rPr>
          <w:rFonts w:eastAsia="Times New Roman" w:cs="Times New Roman"/>
          <w:b/>
          <w:bCs/>
          <w:szCs w:val="24"/>
          <w:lang w:eastAsia="es-CO"/>
        </w:rPr>
        <w:t> </w:t>
      </w:r>
    </w:p>
    <w:p w:rsidR="00C51214" w:rsidRPr="00C51214" w:rsidRDefault="00C51214" w:rsidP="00C51214">
      <w:pPr>
        <w:spacing w:line="240" w:lineRule="auto"/>
        <w:ind w:left="180"/>
        <w:rPr>
          <w:rFonts w:eastAsia="Times New Roman" w:cs="Times New Roman"/>
          <w:szCs w:val="24"/>
          <w:lang w:eastAsia="es-CO"/>
        </w:rPr>
      </w:pPr>
      <w:r w:rsidRPr="00C51214">
        <w:rPr>
          <w:rFonts w:eastAsia="Times New Roman" w:cs="Times New Roman"/>
          <w:b/>
          <w:bCs/>
          <w:szCs w:val="24"/>
          <w:lang w:eastAsia="es-CO"/>
        </w:rPr>
        <w:t>Procedimiento 2</w:t>
      </w:r>
    </w:p>
    <w:p w:rsidR="00C51214" w:rsidRPr="00C51214" w:rsidRDefault="00C51214" w:rsidP="00C51214">
      <w:pPr>
        <w:spacing w:line="240" w:lineRule="auto"/>
        <w:ind w:left="180"/>
        <w:rPr>
          <w:rFonts w:eastAsia="Times New Roman" w:cs="Times New Roman"/>
          <w:szCs w:val="24"/>
          <w:lang w:eastAsia="es-CO"/>
        </w:rPr>
      </w:pPr>
      <w:r w:rsidRPr="00C51214">
        <w:rPr>
          <w:rFonts w:eastAsia="Times New Roman" w:cs="Times New Roman"/>
          <w:b/>
          <w:bCs/>
          <w:szCs w:val="24"/>
          <w:lang w:eastAsia="es-CO"/>
        </w:rPr>
        <w:t> </w:t>
      </w:r>
    </w:p>
    <w:p w:rsidR="00C51214" w:rsidRPr="00C51214" w:rsidRDefault="00C51214" w:rsidP="00C51214">
      <w:pPr>
        <w:spacing w:line="240" w:lineRule="auto"/>
        <w:ind w:left="180"/>
        <w:rPr>
          <w:rFonts w:eastAsia="Times New Roman" w:cs="Times New Roman"/>
          <w:szCs w:val="24"/>
          <w:lang w:eastAsia="es-CO"/>
        </w:rPr>
      </w:pPr>
      <w:r w:rsidRPr="00C51214">
        <w:rPr>
          <w:rFonts w:eastAsia="Times New Roman" w:cs="Times New Roman"/>
          <w:szCs w:val="24"/>
          <w:lang w:eastAsia="es-CO"/>
        </w:rPr>
        <w:t>Cuando se trate </w:t>
      </w:r>
      <w:r w:rsidRPr="00C51214">
        <w:rPr>
          <w:rFonts w:eastAsia="Times New Roman" w:cs="Times New Roman"/>
          <w:szCs w:val="24"/>
          <w:u w:val="single"/>
          <w:lang w:eastAsia="es-CO"/>
        </w:rPr>
        <w:t>de los pagos </w:t>
      </w:r>
      <w:r w:rsidRPr="00C51214">
        <w:rPr>
          <w:rFonts w:eastAsia="Times New Roman" w:cs="Times New Roman"/>
          <w:strike/>
          <w:szCs w:val="24"/>
          <w:u w:val="single"/>
          <w:lang w:eastAsia="es-CO"/>
        </w:rPr>
        <w:t>o abonos </w:t>
      </w:r>
      <w:r w:rsidRPr="00C51214">
        <w:rPr>
          <w:rFonts w:eastAsia="Times New Roman" w:cs="Times New Roman"/>
          <w:szCs w:val="24"/>
          <w:u w:val="single"/>
          <w:lang w:eastAsia="es-CO"/>
        </w:rPr>
        <w:t>gravable</w:t>
      </w:r>
      <w:r w:rsidRPr="00C51214">
        <w:rPr>
          <w:rFonts w:eastAsia="Times New Roman" w:cs="Times New Roman"/>
          <w:szCs w:val="24"/>
          <w:lang w:eastAsia="es-CO"/>
        </w:rPr>
        <w:t> (Sic) distintos de la cesantía y de los intereses sobre las cesantías, el “valor a retener” mensualmente es el que resulte de aplicar a la </w:t>
      </w:r>
      <w:r w:rsidRPr="00C51214">
        <w:rPr>
          <w:rFonts w:eastAsia="Times New Roman" w:cs="Times New Roman"/>
          <w:szCs w:val="24"/>
          <w:u w:val="single"/>
          <w:lang w:eastAsia="es-CO"/>
        </w:rPr>
        <w:t>totalidad de tales pagos </w:t>
      </w:r>
      <w:r w:rsidRPr="00C51214">
        <w:rPr>
          <w:rFonts w:eastAsia="Times New Roman" w:cs="Times New Roman"/>
          <w:strike/>
          <w:szCs w:val="24"/>
          <w:u w:val="single"/>
          <w:lang w:eastAsia="es-CO"/>
        </w:rPr>
        <w:t>o abonos</w:t>
      </w:r>
      <w:r w:rsidRPr="00C51214">
        <w:rPr>
          <w:rFonts w:eastAsia="Times New Roman" w:cs="Times New Roman"/>
          <w:szCs w:val="24"/>
          <w:u w:val="single"/>
          <w:lang w:eastAsia="es-CO"/>
        </w:rPr>
        <w:t> gravables efectuados al trabajador, directa o indirectamente,</w:t>
      </w:r>
      <w:r w:rsidRPr="00C51214">
        <w:rPr>
          <w:rFonts w:eastAsia="Times New Roman" w:cs="Times New Roman"/>
          <w:szCs w:val="24"/>
          <w:lang w:eastAsia="es-CO"/>
        </w:rPr>
        <w:t> en el respectivo mes, el porcentaje fijo de retención semestral que le corresponda al trabajador, calculado de conformidad con las siguientes reglas:</w:t>
      </w:r>
    </w:p>
    <w:p w:rsidR="00C51214" w:rsidRPr="00C51214" w:rsidRDefault="00C51214" w:rsidP="00C51214">
      <w:pPr>
        <w:spacing w:line="240" w:lineRule="auto"/>
        <w:ind w:left="180"/>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ind w:left="180"/>
        <w:rPr>
          <w:rFonts w:eastAsia="Times New Roman" w:cs="Times New Roman"/>
          <w:szCs w:val="24"/>
          <w:lang w:eastAsia="es-CO"/>
        </w:rPr>
      </w:pPr>
      <w:r w:rsidRPr="00C51214">
        <w:rPr>
          <w:rFonts w:eastAsia="Times New Roman" w:cs="Times New Roman"/>
          <w:szCs w:val="24"/>
          <w:lang w:eastAsia="es-CO"/>
        </w:rPr>
        <w:t>Los retenedores calcularán en los meses de junio y diciembre de cada año el porcentaje fijo de retención que deberá aplicarse a los ingresos de cada trabajador durante los seis meses siguientes a aquél en el cual se haya efectuado el cálculo.</w:t>
      </w:r>
    </w:p>
    <w:p w:rsidR="00C51214" w:rsidRPr="00C51214" w:rsidRDefault="00C51214" w:rsidP="00C51214">
      <w:pPr>
        <w:spacing w:line="240" w:lineRule="auto"/>
        <w:ind w:left="180"/>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ind w:left="180"/>
        <w:rPr>
          <w:rFonts w:eastAsia="Times New Roman" w:cs="Times New Roman"/>
          <w:szCs w:val="24"/>
          <w:lang w:eastAsia="es-CO"/>
        </w:rPr>
      </w:pPr>
      <w:r w:rsidRPr="00C51214">
        <w:rPr>
          <w:rFonts w:eastAsia="Times New Roman" w:cs="Times New Roman"/>
          <w:szCs w:val="24"/>
          <w:lang w:eastAsia="es-CO"/>
        </w:rPr>
        <w:t>El porcentaje fijo de retención de que trata el inciso anterior será el que figure en la tabla de retención frente al intervalo al cual corresponda el resultado de dividir por 13 la sumatoria </w:t>
      </w:r>
      <w:r w:rsidRPr="00C51214">
        <w:rPr>
          <w:rFonts w:eastAsia="Times New Roman" w:cs="Times New Roman"/>
          <w:szCs w:val="24"/>
          <w:u w:val="single"/>
          <w:lang w:eastAsia="es-CO"/>
        </w:rPr>
        <w:t>de todos los pagos </w:t>
      </w:r>
      <w:r w:rsidRPr="00C51214">
        <w:rPr>
          <w:rFonts w:eastAsia="Times New Roman" w:cs="Times New Roman"/>
          <w:strike/>
          <w:szCs w:val="24"/>
          <w:u w:val="single"/>
          <w:lang w:eastAsia="es-CO"/>
        </w:rPr>
        <w:t>o abonos</w:t>
      </w:r>
      <w:r w:rsidRPr="00C51214">
        <w:rPr>
          <w:rFonts w:eastAsia="Times New Roman" w:cs="Times New Roman"/>
          <w:szCs w:val="24"/>
          <w:u w:val="single"/>
          <w:lang w:eastAsia="es-CO"/>
        </w:rPr>
        <w:t> gravables efectuados al trabajador, directa o indirectamente, durante los 12 meses anteriores</w:t>
      </w:r>
      <w:r w:rsidRPr="00C51214">
        <w:rPr>
          <w:rFonts w:eastAsia="Times New Roman" w:cs="Times New Roman"/>
          <w:szCs w:val="24"/>
          <w:lang w:eastAsia="es-CO"/>
        </w:rPr>
        <w:t> a aquél en el cual se efectúa el cálculo, sin incluir los que correspondan a la cesantía y a los intereses sobre cesantías.</w:t>
      </w:r>
    </w:p>
    <w:p w:rsidR="00C51214" w:rsidRPr="00C51214" w:rsidRDefault="00C51214" w:rsidP="00C51214">
      <w:pPr>
        <w:spacing w:line="240" w:lineRule="auto"/>
        <w:ind w:left="180"/>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ind w:left="180"/>
        <w:rPr>
          <w:rFonts w:eastAsia="Times New Roman" w:cs="Times New Roman"/>
          <w:szCs w:val="24"/>
          <w:lang w:eastAsia="es-CO"/>
        </w:rPr>
      </w:pPr>
      <w:r w:rsidRPr="00C51214">
        <w:rPr>
          <w:rFonts w:eastAsia="Times New Roman" w:cs="Times New Roman"/>
          <w:szCs w:val="24"/>
          <w:lang w:eastAsia="es-CO"/>
        </w:rPr>
        <w:t>Cuando el trabajador lleve laborando menos de 12 meses al servicio del patrono, el porcentaje fijo de retención será el que figure en la tabla de retención frente al intervalo al cual corresponda el resultado de dividir por el número de meses de vinculación laboral, la sumatoria de todos los pagos </w:t>
      </w:r>
      <w:r w:rsidRPr="00C51214">
        <w:rPr>
          <w:rFonts w:eastAsia="Times New Roman" w:cs="Times New Roman"/>
          <w:strike/>
          <w:szCs w:val="24"/>
          <w:lang w:eastAsia="es-CO"/>
        </w:rPr>
        <w:t>o abonos</w:t>
      </w:r>
      <w:r w:rsidRPr="00C51214">
        <w:rPr>
          <w:rFonts w:eastAsia="Times New Roman" w:cs="Times New Roman"/>
          <w:szCs w:val="24"/>
          <w:lang w:eastAsia="es-CO"/>
        </w:rPr>
        <w:t> gravables efectuados al trabajador, directa o indirectamente, durante dicho lapso, sin incluir los que correspondan a la cesantía y a los intereses sobre cesantías.</w:t>
      </w:r>
    </w:p>
    <w:p w:rsidR="00C51214" w:rsidRPr="00C51214" w:rsidRDefault="00C51214" w:rsidP="00C51214">
      <w:pPr>
        <w:spacing w:line="240" w:lineRule="auto"/>
        <w:ind w:left="180"/>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ind w:left="180"/>
        <w:rPr>
          <w:rFonts w:eastAsia="Times New Roman" w:cs="Times New Roman"/>
          <w:szCs w:val="24"/>
          <w:lang w:eastAsia="es-CO"/>
        </w:rPr>
      </w:pPr>
      <w:r w:rsidRPr="00C51214">
        <w:rPr>
          <w:rFonts w:eastAsia="Times New Roman" w:cs="Times New Roman"/>
          <w:szCs w:val="24"/>
          <w:lang w:eastAsia="es-CO"/>
        </w:rPr>
        <w:t>Cuando se trate de nuevos trabajadores y hasta tanto se efectúe el primer cálculo, el porcentaje de retención será el que figure en la tabla frente al intervalo al cual corresponda la totalidad de los pagos </w:t>
      </w:r>
      <w:r w:rsidRPr="00C51214">
        <w:rPr>
          <w:rFonts w:eastAsia="Times New Roman" w:cs="Times New Roman"/>
          <w:strike/>
          <w:szCs w:val="24"/>
          <w:lang w:eastAsia="es-CO"/>
        </w:rPr>
        <w:t>o abonos</w:t>
      </w:r>
      <w:r w:rsidRPr="00C51214">
        <w:rPr>
          <w:rFonts w:eastAsia="Times New Roman" w:cs="Times New Roman"/>
          <w:szCs w:val="24"/>
          <w:lang w:eastAsia="es-CO"/>
        </w:rPr>
        <w:t> gravables que se hagan al trabajador, directa o indirectamente, durante el respectivo mes.  (</w:t>
      </w:r>
      <w:proofErr w:type="gramStart"/>
      <w:r w:rsidRPr="00C51214">
        <w:rPr>
          <w:rFonts w:eastAsia="Times New Roman" w:cs="Times New Roman"/>
          <w:szCs w:val="24"/>
          <w:lang w:eastAsia="es-CO"/>
        </w:rPr>
        <w:t>los</w:t>
      </w:r>
      <w:proofErr w:type="gramEnd"/>
      <w:r w:rsidRPr="00C51214">
        <w:rPr>
          <w:rFonts w:eastAsia="Times New Roman" w:cs="Times New Roman"/>
          <w:szCs w:val="24"/>
          <w:lang w:eastAsia="es-CO"/>
        </w:rPr>
        <w:t xml:space="preserve"> vocablos tachados fueron derogadas por el artículo 140 de la Ley 6 de 1992).</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Cabe observar que lo previsto por el artículo 14 la Ley 1819 de 2016 (</w:t>
      </w:r>
      <w:hyperlink r:id="rId12" w:tooltip="Estatuto Tributario CETA" w:history="1">
        <w:r w:rsidRPr="00C51214">
          <w:rPr>
            <w:rFonts w:eastAsia="Times New Roman" w:cs="Times New Roman"/>
            <w:szCs w:val="24"/>
            <w:lang w:eastAsia="es-CO"/>
          </w:rPr>
          <w:t>56</w:t>
        </w:r>
      </w:hyperlink>
      <w:r w:rsidRPr="00C51214">
        <w:rPr>
          <w:rFonts w:eastAsia="Times New Roman" w:cs="Times New Roman"/>
          <w:szCs w:val="24"/>
          <w:lang w:eastAsia="es-CO"/>
        </w:rPr>
        <w:t> del Estatuto Tributario) no modificó el procedimiento 2 de retención en la fuente, considerando que la norma dispone la que se aplica a los pagos “gravables”, tal como se destaca en los apartes subrayados.</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Así las cosas, la condición de ingresos no constitutivos de renta ni de ganancia ocasional de los aportes obligatorios de salud en la actualidad debe ser tenida en cuenta en el proceso de depuración de la base del cálculo de la retención en la fuente contemplada en el </w:t>
      </w:r>
      <w:hyperlink r:id="rId13" w:tooltip="Estatuto Tributario CETA" w:history="1">
        <w:r w:rsidRPr="00C51214">
          <w:rPr>
            <w:rFonts w:eastAsia="Times New Roman" w:cs="Times New Roman"/>
            <w:szCs w:val="24"/>
            <w:lang w:eastAsia="es-CO"/>
          </w:rPr>
          <w:t>artículo 388</w:t>
        </w:r>
      </w:hyperlink>
      <w:r w:rsidRPr="00C51214">
        <w:rPr>
          <w:rFonts w:eastAsia="Times New Roman" w:cs="Times New Roman"/>
          <w:szCs w:val="24"/>
          <w:lang w:eastAsia="es-CO"/>
        </w:rPr>
        <w:t> del Estatuto Tributario, disposición modificada por el artículo 18 de la Ley 1819 de 2016.</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ind w:left="180"/>
        <w:rPr>
          <w:rFonts w:eastAsia="Times New Roman" w:cs="Times New Roman"/>
          <w:szCs w:val="24"/>
          <w:lang w:eastAsia="es-CO"/>
        </w:rPr>
      </w:pPr>
      <w:hyperlink r:id="rId14" w:tooltip="Estatuto Tributario CETA" w:history="1">
        <w:r w:rsidRPr="00C51214">
          <w:rPr>
            <w:rFonts w:eastAsia="Times New Roman" w:cs="Times New Roman"/>
            <w:b/>
            <w:bCs/>
            <w:szCs w:val="24"/>
            <w:lang w:eastAsia="es-CO"/>
          </w:rPr>
          <w:t>ARTÍCULO 388</w:t>
        </w:r>
      </w:hyperlink>
      <w:r w:rsidRPr="00C51214">
        <w:rPr>
          <w:rFonts w:eastAsia="Times New Roman" w:cs="Times New Roman"/>
          <w:b/>
          <w:bCs/>
          <w:szCs w:val="24"/>
          <w:lang w:eastAsia="es-CO"/>
        </w:rPr>
        <w:t>. </w:t>
      </w:r>
      <w:r w:rsidRPr="00C51214">
        <w:rPr>
          <w:rFonts w:eastAsia="Times New Roman" w:cs="Times New Roman"/>
          <w:b/>
          <w:bCs/>
          <w:i/>
          <w:iCs/>
          <w:szCs w:val="24"/>
          <w:lang w:eastAsia="es-CO"/>
        </w:rPr>
        <w:t>DEPURACIÓN DE LA BASE DEL CÁLCULO DE LA RETENCIÓN EN LA FUENTE</w:t>
      </w:r>
      <w:r w:rsidRPr="00C51214">
        <w:rPr>
          <w:rFonts w:eastAsia="Times New Roman" w:cs="Times New Roman"/>
          <w:b/>
          <w:bCs/>
          <w:szCs w:val="24"/>
          <w:lang w:eastAsia="es-CO"/>
        </w:rPr>
        <w:t>.</w:t>
      </w:r>
      <w:r w:rsidRPr="00C51214">
        <w:rPr>
          <w:rFonts w:eastAsia="Times New Roman" w:cs="Times New Roman"/>
          <w:szCs w:val="24"/>
          <w:lang w:eastAsia="es-CO"/>
        </w:rPr>
        <w:t xml:space="preserve"> &lt;Artículo adicionado por a artículo 18 de la Ley 1819 de 2016. &gt; Para obtener la base de retención en la fuente sobre los pagos o abonos en cuenta por concepto </w:t>
      </w:r>
      <w:r w:rsidRPr="00C51214">
        <w:rPr>
          <w:rFonts w:eastAsia="Times New Roman" w:cs="Times New Roman"/>
          <w:szCs w:val="24"/>
          <w:lang w:eastAsia="es-CO"/>
        </w:rPr>
        <w:lastRenderedPageBreak/>
        <w:t>de rentas de trabajo efectuados a las personas naturales, se podrán detraer los siguientes factores:</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ind w:left="720" w:hanging="360"/>
        <w:rPr>
          <w:rFonts w:eastAsia="Times New Roman" w:cs="Times New Roman"/>
          <w:szCs w:val="24"/>
          <w:lang w:eastAsia="es-CO"/>
        </w:rPr>
      </w:pPr>
      <w:r w:rsidRPr="00C51214">
        <w:rPr>
          <w:rFonts w:eastAsia="Times New Roman" w:cs="Times New Roman"/>
          <w:szCs w:val="24"/>
          <w:lang w:eastAsia="es-CO"/>
        </w:rPr>
        <w:t>1.     </w:t>
      </w:r>
      <w:r w:rsidRPr="00C51214">
        <w:rPr>
          <w:rFonts w:eastAsia="Times New Roman" w:cs="Times New Roman"/>
          <w:szCs w:val="24"/>
          <w:u w:val="single"/>
          <w:lang w:eastAsia="es-CO"/>
        </w:rPr>
        <w:t>Los ingresos que la ley de manera taxativa prevé como no constitutivos de renta ni ganancia ocasional.</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ind w:left="720" w:hanging="360"/>
        <w:rPr>
          <w:rFonts w:eastAsia="Times New Roman" w:cs="Times New Roman"/>
          <w:szCs w:val="24"/>
          <w:lang w:eastAsia="es-CO"/>
        </w:rPr>
      </w:pPr>
      <w:r w:rsidRPr="00C51214">
        <w:rPr>
          <w:rFonts w:eastAsia="Times New Roman" w:cs="Times New Roman"/>
          <w:szCs w:val="24"/>
          <w:lang w:eastAsia="es-CO"/>
        </w:rPr>
        <w:t>2.     Las deducciones a que se refiere el </w:t>
      </w:r>
      <w:hyperlink r:id="rId15" w:tooltip="Estatuto Tributario CETA" w:history="1">
        <w:r w:rsidRPr="00C51214">
          <w:rPr>
            <w:rFonts w:eastAsia="Times New Roman" w:cs="Times New Roman"/>
            <w:szCs w:val="24"/>
            <w:lang w:eastAsia="es-CO"/>
          </w:rPr>
          <w:t>artículo 387</w:t>
        </w:r>
      </w:hyperlink>
      <w:r w:rsidRPr="00C51214">
        <w:rPr>
          <w:rFonts w:eastAsia="Times New Roman" w:cs="Times New Roman"/>
          <w:szCs w:val="24"/>
          <w:lang w:eastAsia="es-CO"/>
        </w:rPr>
        <w:t> de Estatuto Tributario y las rentas que la ley de manera taxativa prevé como exentas. En todo caso, la suma total de deducciones y rentas exentas no podrá superar el cuarenta por ciento (40%) del resultado de restar del monto del pago o abono en cuenta los ingresos no constitutivos de renta ni ganancia ocasional imputables. Esta limitación no aplicará en el caso del pago de pensiones de jubilación, invalidez, vejez, de sobrevivientes y sobre riesgos profesionales, las indemnizaciones sustitutivas de las pensiones y las devoluciones de ahorro pensional.</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ind w:left="180"/>
        <w:rPr>
          <w:rFonts w:eastAsia="Times New Roman" w:cs="Times New Roman"/>
          <w:szCs w:val="24"/>
          <w:lang w:eastAsia="es-CO"/>
        </w:rPr>
      </w:pPr>
      <w:r w:rsidRPr="00C51214">
        <w:rPr>
          <w:rFonts w:eastAsia="Times New Roman" w:cs="Times New Roman"/>
          <w:szCs w:val="24"/>
          <w:lang w:eastAsia="es-CO"/>
        </w:rPr>
        <w:t>La exención prevista en el numeral 10 del </w:t>
      </w:r>
      <w:hyperlink r:id="rId16" w:tooltip="Estatuto Tributario CETA" w:history="1">
        <w:r w:rsidRPr="00C51214">
          <w:rPr>
            <w:rFonts w:eastAsia="Times New Roman" w:cs="Times New Roman"/>
            <w:szCs w:val="24"/>
            <w:lang w:eastAsia="es-CO"/>
          </w:rPr>
          <w:t>artículo 206</w:t>
        </w:r>
      </w:hyperlink>
      <w:r w:rsidRPr="00C51214">
        <w:rPr>
          <w:rFonts w:eastAsia="Times New Roman" w:cs="Times New Roman"/>
          <w:szCs w:val="24"/>
          <w:lang w:eastAsia="es-CO"/>
        </w:rPr>
        <w:t> del Estatuto Tributario procede también para los pagos o abonos en cuenta por concepto de ingresos por honorarios y por compensación por servicios personales obtenidos por las personas que informen que no han contratado o vinculado dos (2) o más trabajadores asociados a la actividad.</w:t>
      </w:r>
    </w:p>
    <w:p w:rsidR="00C51214" w:rsidRPr="00C51214" w:rsidRDefault="00C51214" w:rsidP="00C51214">
      <w:pPr>
        <w:spacing w:line="240" w:lineRule="auto"/>
        <w:ind w:left="180"/>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ind w:left="180"/>
        <w:rPr>
          <w:rFonts w:eastAsia="Times New Roman" w:cs="Times New Roman"/>
          <w:szCs w:val="24"/>
          <w:lang w:eastAsia="es-CO"/>
        </w:rPr>
      </w:pPr>
      <w:r w:rsidRPr="00C51214">
        <w:rPr>
          <w:rFonts w:eastAsia="Times New Roman" w:cs="Times New Roman"/>
          <w:szCs w:val="24"/>
          <w:lang w:eastAsia="es-CO"/>
        </w:rPr>
        <w:t xml:space="preserve">Los factores de depuración de la base de retención de los trabajadores cuyos ingresos no provengan de una relación </w:t>
      </w:r>
      <w:proofErr w:type="spellStart"/>
      <w:r w:rsidRPr="00C51214">
        <w:rPr>
          <w:rFonts w:eastAsia="Times New Roman" w:cs="Times New Roman"/>
          <w:szCs w:val="24"/>
          <w:lang w:eastAsia="es-CO"/>
        </w:rPr>
        <w:t>Iaboral</w:t>
      </w:r>
      <w:proofErr w:type="spellEnd"/>
      <w:r w:rsidRPr="00C51214">
        <w:rPr>
          <w:rFonts w:eastAsia="Times New Roman" w:cs="Times New Roman"/>
          <w:szCs w:val="24"/>
          <w:lang w:eastAsia="es-CO"/>
        </w:rPr>
        <w:t>, o legal y reglamentaria, se determinarán mediante los soportes que adjunte el trabajador a la factura o documento equivalente o el documento expedido por las personas no obligadas a facturar en los términos del inciso 3o del </w:t>
      </w:r>
      <w:hyperlink r:id="rId17" w:tooltip="Estatuto Tributario CETA" w:history="1">
        <w:r w:rsidRPr="00C51214">
          <w:rPr>
            <w:rFonts w:eastAsia="Times New Roman" w:cs="Times New Roman"/>
            <w:szCs w:val="24"/>
            <w:lang w:eastAsia="es-CO"/>
          </w:rPr>
          <w:t>artículo 771-2</w:t>
        </w:r>
      </w:hyperlink>
      <w:r w:rsidRPr="00C51214">
        <w:rPr>
          <w:rFonts w:eastAsia="Times New Roman" w:cs="Times New Roman"/>
          <w:szCs w:val="24"/>
          <w:lang w:eastAsia="es-CO"/>
        </w:rPr>
        <w:t> del Estatuto Tributario.</w:t>
      </w:r>
    </w:p>
    <w:p w:rsidR="00C51214" w:rsidRPr="00C51214" w:rsidRDefault="00C51214" w:rsidP="00C51214">
      <w:pPr>
        <w:spacing w:line="240" w:lineRule="auto"/>
        <w:ind w:left="180"/>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ind w:left="180"/>
        <w:rPr>
          <w:rFonts w:eastAsia="Times New Roman" w:cs="Times New Roman"/>
          <w:szCs w:val="24"/>
          <w:lang w:eastAsia="es-CO"/>
        </w:rPr>
      </w:pPr>
      <w:r w:rsidRPr="00C51214">
        <w:rPr>
          <w:rFonts w:eastAsia="Times New Roman" w:cs="Times New Roman"/>
          <w:szCs w:val="24"/>
          <w:lang w:eastAsia="es-CO"/>
        </w:rPr>
        <w:t>PARÁGRAFO. Para efectos de la aplicación de la tabla de retención en la fuente señalada en el </w:t>
      </w:r>
      <w:hyperlink r:id="rId18" w:tooltip="Estatuto Tributario CETA" w:history="1">
        <w:r w:rsidRPr="00C51214">
          <w:rPr>
            <w:rFonts w:eastAsia="Times New Roman" w:cs="Times New Roman"/>
            <w:szCs w:val="24"/>
            <w:lang w:eastAsia="es-CO"/>
          </w:rPr>
          <w:t>artículo 383</w:t>
        </w:r>
      </w:hyperlink>
      <w:r w:rsidRPr="00C51214">
        <w:rPr>
          <w:rFonts w:eastAsia="Times New Roman" w:cs="Times New Roman"/>
          <w:szCs w:val="24"/>
          <w:lang w:eastAsia="es-CO"/>
        </w:rPr>
        <w:t> del Estatuto Tributario a las persones naturales cuyos pagos o abonos en cuenta no provengan de una relación laboral, o legal y reglamentaria, se deberá tener en cuenta la totalidad de los pagos o abonos en cuenta efectuados en el respectivo mes.</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Por tanto, no deben ser tenidos en cuenta para efectos del cálculo en los que se tomen meses anteriores como el mes de diciembre de 2016, y deberán excluirse de los ingresos gravados para efectos de realizar la respectiva operación.</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Adicionalmente, hay que aclarar que con Oficio 902660 de mayo de 2017, radicación interna 100208221- 000938 este Despacho se pronunció sobre los aportes obligatorios al sistema general de salud y a la pérdida de vigencia de los Decretos 2271 de 2009 y 3655 de ese año, respecto de las deducciones por ese concepto, incorporados en el numeral 1.2.4.1.15 del Decreto Único Reglamentario 1625 de 2016, el cual remitimos para su conocimiento. Lo explicado allí no genera ninguna inconsistencia, y debe entenderse en el sentido que al tratarse hoy de ingresos no constitutivos de renta, los aportes obligatorios de salud no deben tomarse como gravados dentro de los meses que se utilizan para aplicar la retención en la fuente por salarios indicados para el procedimiento 2.</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Lo anterior se manifiesta sin perjuicio de la reglamentación que expida el Gobierno Nacional sobre este tema en particular.</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Atentamente,</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b/>
          <w:bCs/>
          <w:szCs w:val="24"/>
          <w:lang w:eastAsia="es-CO"/>
        </w:rPr>
        <w:t>PEDRO PABLO CONTRERAS CAMARGO</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Subdirector de Gestión Normativa y Doctrina</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C51214" w:rsidRPr="00C51214" w:rsidRDefault="00C51214" w:rsidP="00C51214">
      <w:pPr>
        <w:spacing w:line="240" w:lineRule="auto"/>
        <w:rPr>
          <w:rFonts w:eastAsia="Times New Roman" w:cs="Times New Roman"/>
          <w:szCs w:val="24"/>
          <w:lang w:eastAsia="es-CO"/>
        </w:rPr>
      </w:pPr>
      <w:r w:rsidRPr="00C51214">
        <w:rPr>
          <w:rFonts w:eastAsia="Times New Roman" w:cs="Times New Roman"/>
          <w:szCs w:val="24"/>
          <w:lang w:eastAsia="es-CO"/>
        </w:rPr>
        <w:t> </w:t>
      </w:r>
    </w:p>
    <w:p w:rsidR="00961BFA" w:rsidRPr="00C51214" w:rsidRDefault="00961BFA">
      <w:pPr>
        <w:rPr>
          <w:rFonts w:cs="Times New Roman"/>
          <w:szCs w:val="24"/>
        </w:rPr>
      </w:pPr>
    </w:p>
    <w:sectPr w:rsidR="00961BFA" w:rsidRPr="00C51214"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14"/>
    <w:rsid w:val="0029351E"/>
    <w:rsid w:val="00961BFA"/>
    <w:rsid w:val="00B94BED"/>
    <w:rsid w:val="00C51214"/>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DDF2C-788C-4E76-AB2D-4DC01FD6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6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5" TargetMode="External"/><Relationship Id="rId13" Type="http://schemas.openxmlformats.org/officeDocument/2006/relationships/hyperlink" Target="https://www.ceta.org.co/html/vista_de_un_articulo.asp?Norma=482" TargetMode="External"/><Relationship Id="rId18" Type="http://schemas.openxmlformats.org/officeDocument/2006/relationships/hyperlink" Target="https://www.ceta.org.co/html/vista_de_un_articulo.asp?Norma=47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82" TargetMode="External"/><Relationship Id="rId12" Type="http://schemas.openxmlformats.org/officeDocument/2006/relationships/hyperlink" Target="https://www.ceta.org.co/html/vista_de_un_articulo.asp?Norma=95" TargetMode="External"/><Relationship Id="rId17" Type="http://schemas.openxmlformats.org/officeDocument/2006/relationships/hyperlink" Target="https://www.ceta.org.co/html/vista_de_un_articulo.asp?Norma=957" TargetMode="External"/><Relationship Id="rId2" Type="http://schemas.openxmlformats.org/officeDocument/2006/relationships/settings" Target="settings.xml"/><Relationship Id="rId16" Type="http://schemas.openxmlformats.org/officeDocument/2006/relationships/hyperlink" Target="https://www.ceta.org.co/html/vista_de_un_articulo.asp?Norma=27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479" TargetMode="External"/><Relationship Id="rId11" Type="http://schemas.openxmlformats.org/officeDocument/2006/relationships/hyperlink" Target="https://www.ceta.org.co/html/vista_de_un_articulo.asp?Norma=479" TargetMode="External"/><Relationship Id="rId5" Type="http://schemas.openxmlformats.org/officeDocument/2006/relationships/hyperlink" Target="https://www.ceta.org.co/html/vista_de_un_articulo.asp?Norma=95" TargetMode="External"/><Relationship Id="rId15" Type="http://schemas.openxmlformats.org/officeDocument/2006/relationships/hyperlink" Target="https://www.ceta.org.co/html/vista_de_un_articulo.asp?Norma=480" TargetMode="External"/><Relationship Id="rId10" Type="http://schemas.openxmlformats.org/officeDocument/2006/relationships/hyperlink" Target="https://www.ceta.org.co/html/vista_de_un_articulo.asp?Norma=479" TargetMode="External"/><Relationship Id="rId19" Type="http://schemas.openxmlformats.org/officeDocument/2006/relationships/fontTable" Target="fontTable.xml"/><Relationship Id="rId4" Type="http://schemas.openxmlformats.org/officeDocument/2006/relationships/hyperlink" Target="mailto:Ivette.cuesta@uniminuto.edu" TargetMode="External"/><Relationship Id="rId9" Type="http://schemas.openxmlformats.org/officeDocument/2006/relationships/hyperlink" Target="https://www.ceta.org.co/html/vista_de_un_articulo.asp?Norma=95" TargetMode="External"/><Relationship Id="rId14" Type="http://schemas.openxmlformats.org/officeDocument/2006/relationships/hyperlink" Target="https://www.ceta.org.co/html/vista_de_un_articulo.asp?Norma=48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1634</Words>
  <Characters>8989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2017-08-26T02:25:00Z</dcterms:created>
  <dcterms:modified xsi:type="dcterms:W3CDTF">2017-08-26T02:26:00Z</dcterms:modified>
</cp:coreProperties>
</file>