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A1" w:rsidRPr="002E3120" w:rsidRDefault="005F23A1" w:rsidP="005F23A1">
      <w:pPr>
        <w:spacing w:line="240" w:lineRule="auto"/>
        <w:jc w:val="center"/>
        <w:rPr>
          <w:rFonts w:eastAsia="Times New Roman" w:cs="Times New Roman"/>
          <w:b/>
          <w:szCs w:val="24"/>
          <w:lang w:eastAsia="es-CO"/>
        </w:rPr>
      </w:pPr>
      <w:r w:rsidRPr="002E3120">
        <w:rPr>
          <w:rFonts w:eastAsia="Times New Roman" w:cs="Times New Roman"/>
          <w:b/>
          <w:bCs/>
          <w:szCs w:val="24"/>
          <w:lang w:eastAsia="es-CO"/>
        </w:rPr>
        <w:t>OFICIO Nº 012568</w:t>
      </w:r>
    </w:p>
    <w:p w:rsidR="005F23A1" w:rsidRPr="002E3120" w:rsidRDefault="005F23A1" w:rsidP="005F23A1">
      <w:pPr>
        <w:spacing w:line="240" w:lineRule="auto"/>
        <w:jc w:val="center"/>
        <w:rPr>
          <w:rFonts w:eastAsia="Times New Roman" w:cs="Times New Roman"/>
          <w:b/>
          <w:szCs w:val="24"/>
          <w:lang w:eastAsia="es-CO"/>
        </w:rPr>
      </w:pPr>
      <w:r w:rsidRPr="002E3120">
        <w:rPr>
          <w:rFonts w:eastAsia="Times New Roman" w:cs="Times New Roman"/>
          <w:b/>
          <w:bCs/>
          <w:szCs w:val="24"/>
          <w:lang w:eastAsia="es-CO"/>
        </w:rPr>
        <w:t>24-05-2017</w:t>
      </w:r>
    </w:p>
    <w:p w:rsidR="005F23A1" w:rsidRPr="002E3120" w:rsidRDefault="005F23A1" w:rsidP="005F23A1">
      <w:pPr>
        <w:spacing w:line="240" w:lineRule="auto"/>
        <w:jc w:val="center"/>
        <w:rPr>
          <w:rFonts w:eastAsia="Times New Roman" w:cs="Times New Roman"/>
          <w:b/>
          <w:szCs w:val="24"/>
          <w:lang w:eastAsia="es-CO"/>
        </w:rPr>
      </w:pPr>
      <w:r w:rsidRPr="002E3120">
        <w:rPr>
          <w:rFonts w:eastAsia="Times New Roman" w:cs="Times New Roman"/>
          <w:b/>
          <w:bCs/>
          <w:szCs w:val="24"/>
          <w:lang w:eastAsia="es-CO"/>
        </w:rPr>
        <w:t>DIAN</w:t>
      </w:r>
    </w:p>
    <w:p w:rsidR="005F23A1" w:rsidRPr="002E3120" w:rsidRDefault="005F23A1" w:rsidP="005F23A1">
      <w:pPr>
        <w:spacing w:line="240" w:lineRule="auto"/>
        <w:rPr>
          <w:rFonts w:eastAsia="Times New Roman" w:cs="Times New Roman"/>
          <w:b/>
          <w:szCs w:val="24"/>
          <w:lang w:eastAsia="es-CO"/>
        </w:rPr>
      </w:pPr>
      <w:r w:rsidRPr="002E3120">
        <w:rPr>
          <w:rFonts w:eastAsia="Times New Roman" w:cs="Times New Roman"/>
          <w:b/>
          <w:szCs w:val="24"/>
          <w:lang w:eastAsia="es-CO"/>
        </w:rPr>
        <w:t> </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Subdirección de Gestión Normativa y Doctrina</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Bogotá, D.C.</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100208221 - 000954</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Señor</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b/>
          <w:bCs/>
          <w:szCs w:val="24"/>
          <w:lang w:eastAsia="es-CO"/>
        </w:rPr>
        <w:t>RICARDO ROMERO BEDOUT</w:t>
      </w:r>
    </w:p>
    <w:p w:rsidR="005F23A1" w:rsidRPr="002E3120" w:rsidRDefault="005F23A1" w:rsidP="005F23A1">
      <w:pPr>
        <w:spacing w:line="240" w:lineRule="auto"/>
        <w:rPr>
          <w:rFonts w:eastAsia="Times New Roman" w:cs="Times New Roman"/>
          <w:szCs w:val="24"/>
          <w:lang w:eastAsia="es-CO"/>
        </w:rPr>
      </w:pPr>
      <w:proofErr w:type="spellStart"/>
      <w:r w:rsidRPr="002E3120">
        <w:rPr>
          <w:rFonts w:eastAsia="Times New Roman" w:cs="Times New Roman"/>
          <w:szCs w:val="24"/>
          <w:lang w:eastAsia="es-CO"/>
        </w:rPr>
        <w:t>Cra</w:t>
      </w:r>
      <w:proofErr w:type="spellEnd"/>
      <w:r w:rsidRPr="002E3120">
        <w:rPr>
          <w:rFonts w:eastAsia="Times New Roman" w:cs="Times New Roman"/>
          <w:szCs w:val="24"/>
          <w:lang w:eastAsia="es-CO"/>
        </w:rPr>
        <w:t>. 89 No. 18 – 72 Casa 13, Villas de San Joaquín II</w:t>
      </w:r>
    </w:p>
    <w:p w:rsidR="005F23A1" w:rsidRPr="002E3120" w:rsidRDefault="002E3120" w:rsidP="005F23A1">
      <w:pPr>
        <w:spacing w:line="240" w:lineRule="auto"/>
        <w:rPr>
          <w:rFonts w:eastAsia="Times New Roman" w:cs="Times New Roman"/>
          <w:szCs w:val="24"/>
          <w:lang w:eastAsia="es-CO"/>
        </w:rPr>
      </w:pPr>
      <w:hyperlink r:id="rId4" w:history="1">
        <w:proofErr w:type="spellStart"/>
        <w:r w:rsidR="005F23A1" w:rsidRPr="002E3120">
          <w:rPr>
            <w:rFonts w:eastAsia="Times New Roman" w:cs="Times New Roman"/>
            <w:szCs w:val="24"/>
            <w:lang w:eastAsia="es-CO"/>
          </w:rPr>
          <w:t>Ricardo.bedout@gmail.com</w:t>
        </w:r>
        <w:proofErr w:type="spellEnd"/>
      </w:hyperlink>
      <w:bookmarkStart w:id="0" w:name="_GoBack"/>
      <w:bookmarkEnd w:id="0"/>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Cali, Valle.</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rPr>
          <w:rFonts w:eastAsia="Times New Roman" w:cs="Times New Roman"/>
          <w:szCs w:val="24"/>
          <w:lang w:eastAsia="es-CO"/>
        </w:rPr>
      </w:pPr>
      <w:proofErr w:type="spellStart"/>
      <w:r w:rsidRPr="002E3120">
        <w:rPr>
          <w:rFonts w:eastAsia="Times New Roman" w:cs="Times New Roman"/>
          <w:b/>
          <w:bCs/>
          <w:szCs w:val="24"/>
          <w:lang w:eastAsia="es-CO"/>
        </w:rPr>
        <w:t>Ref</w:t>
      </w:r>
      <w:proofErr w:type="spellEnd"/>
      <w:r w:rsidRPr="002E3120">
        <w:rPr>
          <w:rFonts w:eastAsia="Times New Roman" w:cs="Times New Roman"/>
          <w:b/>
          <w:bCs/>
          <w:szCs w:val="24"/>
          <w:lang w:eastAsia="es-CO"/>
        </w:rPr>
        <w:t>: </w:t>
      </w:r>
      <w:r w:rsidRPr="002E3120">
        <w:rPr>
          <w:rFonts w:eastAsia="Times New Roman" w:cs="Times New Roman"/>
          <w:szCs w:val="24"/>
          <w:lang w:eastAsia="es-CO"/>
        </w:rPr>
        <w:t>Radicado 100014445 del 24/03/2017.</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De conformidad con el artículo 20 del Decreto 4048 de 2008, es función de esta Subdirección absolver de modo general las consultas escritas que se formulen sobre la interpretación y aplicación de las normas tributarias de carácter nacional, aduaneras y cambiarias en lo de competencia de la Entidad.</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Consulta usted si ¿es aplicable el numeral 2) literal a) y b) del </w:t>
      </w:r>
      <w:hyperlink r:id="rId5" w:tooltip="Estatuto Tributario CETA" w:history="1">
        <w:r w:rsidRPr="002E3120">
          <w:rPr>
            <w:rFonts w:eastAsia="Times New Roman" w:cs="Times New Roman"/>
            <w:szCs w:val="24"/>
            <w:lang w:eastAsia="es-CO"/>
          </w:rPr>
          <w:t>artículo 291</w:t>
        </w:r>
      </w:hyperlink>
      <w:r w:rsidRPr="002E3120">
        <w:rPr>
          <w:rFonts w:eastAsia="Times New Roman" w:cs="Times New Roman"/>
          <w:szCs w:val="24"/>
          <w:lang w:eastAsia="es-CO"/>
        </w:rPr>
        <w:t> del E.T. para la determinación del valor patrimonial de inversiones en moneda extranjera, en acciones o participaciones en sociedades extranjeras que no se enajenen dentro del giro ordinario del negocio?</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El </w:t>
      </w:r>
      <w:hyperlink r:id="rId6" w:tooltip="Estatuto Tributario CETA" w:history="1">
        <w:r w:rsidRPr="002E3120">
          <w:rPr>
            <w:rFonts w:eastAsia="Times New Roman" w:cs="Times New Roman"/>
            <w:szCs w:val="24"/>
            <w:lang w:eastAsia="es-CO"/>
          </w:rPr>
          <w:t>artículo 291</w:t>
        </w:r>
      </w:hyperlink>
      <w:r w:rsidRPr="002E3120">
        <w:rPr>
          <w:rFonts w:eastAsia="Times New Roman" w:cs="Times New Roman"/>
          <w:szCs w:val="24"/>
          <w:lang w:eastAsia="es-CO"/>
        </w:rPr>
        <w:t> del E.T. tiene una connotación exclusiva de régimen de transición por lo cual para la valoración de las inversiones en moneda extranjera en acciones y participación en sociedades extranjeras, se debe acudir a las reglas generales, consagradas en los siguientes artículos del Estatuto Tributario:</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i/>
          <w:iCs/>
          <w:szCs w:val="24"/>
          <w:lang w:eastAsia="es-CO"/>
        </w:rPr>
        <w:t>Texto</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b/>
          <w:bCs/>
          <w:i/>
          <w:iCs/>
          <w:szCs w:val="24"/>
          <w:lang w:eastAsia="es-CO"/>
        </w:rPr>
        <w:t>“</w:t>
      </w:r>
      <w:hyperlink r:id="rId7" w:tooltip="Estatuto Tributario CETA" w:history="1">
        <w:r w:rsidRPr="002E3120">
          <w:rPr>
            <w:rFonts w:eastAsia="Times New Roman" w:cs="Times New Roman"/>
            <w:b/>
            <w:bCs/>
            <w:i/>
            <w:iCs/>
            <w:szCs w:val="24"/>
            <w:lang w:eastAsia="es-CO"/>
          </w:rPr>
          <w:t>Artículo 269</w:t>
        </w:r>
      </w:hyperlink>
      <w:r w:rsidRPr="002E3120">
        <w:rPr>
          <w:rFonts w:eastAsia="Times New Roman" w:cs="Times New Roman"/>
          <w:b/>
          <w:bCs/>
          <w:i/>
          <w:iCs/>
          <w:szCs w:val="24"/>
          <w:lang w:eastAsia="es-CO"/>
        </w:rPr>
        <w:t>. Valor patrimonial de los bienes en moneda extranjera. (ART. MODIFICADO POR ART 116 DE LA LEY 1819 DE 2016). </w:t>
      </w:r>
      <w:r w:rsidRPr="002E3120">
        <w:rPr>
          <w:rFonts w:eastAsia="Times New Roman" w:cs="Times New Roman"/>
          <w:i/>
          <w:iCs/>
          <w:szCs w:val="24"/>
          <w:lang w:eastAsia="es-CO"/>
        </w:rPr>
        <w:t>El valor de los activos en moneda extranjera, se estiman en moneda nacional al momento de su reconocimiento inicial a la tasa representativa del mercado, menos los abonos o pagos medidos a la misma tasa representativa del mercado de reconocimiento inicial.”</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b/>
          <w:bCs/>
          <w:i/>
          <w:iCs/>
          <w:szCs w:val="24"/>
          <w:lang w:eastAsia="es-CO"/>
        </w:rPr>
        <w:t>“</w:t>
      </w:r>
      <w:hyperlink r:id="rId8" w:tooltip="Estatuto Tributario CETA" w:history="1">
        <w:r w:rsidRPr="002E3120">
          <w:rPr>
            <w:rFonts w:eastAsia="Times New Roman" w:cs="Times New Roman"/>
            <w:b/>
            <w:bCs/>
            <w:i/>
            <w:iCs/>
            <w:szCs w:val="24"/>
            <w:lang w:eastAsia="es-CO"/>
          </w:rPr>
          <w:t>Artículo 288</w:t>
        </w:r>
      </w:hyperlink>
      <w:r w:rsidRPr="002E3120">
        <w:rPr>
          <w:rFonts w:eastAsia="Times New Roman" w:cs="Times New Roman"/>
          <w:b/>
          <w:bCs/>
          <w:i/>
          <w:iCs/>
          <w:szCs w:val="24"/>
          <w:lang w:eastAsia="es-CO"/>
        </w:rPr>
        <w:t>. Ajustes por diferencia en cambio.</w:t>
      </w:r>
      <w:r w:rsidRPr="002E3120">
        <w:rPr>
          <w:rFonts w:eastAsia="Times New Roman" w:cs="Times New Roman"/>
          <w:i/>
          <w:iCs/>
          <w:szCs w:val="24"/>
          <w:lang w:eastAsia="es-CO"/>
        </w:rPr>
        <w:t> Los ingresos, costos, deducciones, activos y pasivos en moneda extranjera se medirán al momento de su reconocimiento inicial a la tasa representativa del mercado.</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i/>
          <w:iCs/>
          <w:szCs w:val="24"/>
          <w:lang w:eastAsia="es-CO"/>
        </w:rPr>
        <w:t>Las fluctuaciones de las partidas del estado de situación financiera, activos y pasivos, expresadas en moneda extranjera, no tendrán efectos fiscales sino hasta el momento de la enajenación o abono en el caso de los activos, o liquidación o pago parcial en el caso de los pasivos.</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i/>
          <w:iCs/>
          <w:szCs w:val="24"/>
          <w:lang w:eastAsia="es-CO"/>
        </w:rPr>
        <w:t>En los eventos de enajenación o abono, la liquidación o el pago parcial, según sea el caso, se reconocerá a la tasa representativa del mercado del reconocimiento inicial.</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i/>
          <w:iCs/>
          <w:szCs w:val="24"/>
          <w:lang w:eastAsia="es-CO"/>
        </w:rPr>
        <w:t>El ingreso gravado, costo o gasto deducible en los abonos o pagos mencionados anteriormente corresponderá al que se genere por la diferencia entre la tasa representativa del mercado en el reconocimiento inicial y la tasa representativa del mercado en el momento del abono o pago.”</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lastRenderedPageBreak/>
        <w:t> </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En cuanto a su segunda pregunta con el fin de determinar si el </w:t>
      </w:r>
      <w:hyperlink r:id="rId9" w:tooltip="Estatuto Tributario CETA" w:history="1">
        <w:r w:rsidRPr="002E3120">
          <w:rPr>
            <w:rFonts w:eastAsia="Times New Roman" w:cs="Times New Roman"/>
            <w:szCs w:val="24"/>
            <w:lang w:eastAsia="es-CO"/>
          </w:rPr>
          <w:t>artículo 291</w:t>
        </w:r>
      </w:hyperlink>
      <w:r w:rsidRPr="002E3120">
        <w:rPr>
          <w:rFonts w:eastAsia="Times New Roman" w:cs="Times New Roman"/>
          <w:szCs w:val="24"/>
          <w:lang w:eastAsia="es-CO"/>
        </w:rPr>
        <w:t xml:space="preserve"> del E.T. adicionado por la ley 1819 de 2016, rige para la </w:t>
      </w:r>
      <w:proofErr w:type="spellStart"/>
      <w:r w:rsidRPr="002E3120">
        <w:rPr>
          <w:rFonts w:eastAsia="Times New Roman" w:cs="Times New Roman"/>
          <w:szCs w:val="24"/>
          <w:lang w:eastAsia="es-CO"/>
        </w:rPr>
        <w:t>la</w:t>
      </w:r>
      <w:proofErr w:type="spellEnd"/>
      <w:r w:rsidRPr="002E3120">
        <w:rPr>
          <w:rFonts w:eastAsia="Times New Roman" w:cs="Times New Roman"/>
          <w:szCs w:val="24"/>
          <w:lang w:eastAsia="es-CO"/>
        </w:rPr>
        <w:t xml:space="preserve"> (sic) declaración de renta del año gravable 2016?, cabe señalar que al tratarse dicha norma de un régimen de transición, la intención del legislador es que rija para la declaración de Renta del año gravable 2016. Al respecto se señaló en la exposición de motivos lo siguiente:</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b/>
          <w:bCs/>
          <w:i/>
          <w:iCs/>
          <w:szCs w:val="24"/>
          <w:lang w:eastAsia="es-CO"/>
        </w:rPr>
        <w:t>“</w:t>
      </w:r>
      <w:hyperlink r:id="rId10" w:tooltip="Estatuto Tributario CETA" w:history="1">
        <w:r w:rsidRPr="002E3120">
          <w:rPr>
            <w:rFonts w:eastAsia="Times New Roman" w:cs="Times New Roman"/>
            <w:b/>
            <w:bCs/>
            <w:i/>
            <w:iCs/>
            <w:szCs w:val="24"/>
            <w:lang w:eastAsia="es-CO"/>
          </w:rPr>
          <w:t>ARTÍCULO 291</w:t>
        </w:r>
      </w:hyperlink>
      <w:r w:rsidRPr="002E3120">
        <w:rPr>
          <w:rFonts w:eastAsia="Times New Roman" w:cs="Times New Roman"/>
          <w:b/>
          <w:bCs/>
          <w:i/>
          <w:iCs/>
          <w:szCs w:val="24"/>
          <w:lang w:eastAsia="es-CO"/>
        </w:rPr>
        <w:t>. Justificación del artículo. </w:t>
      </w:r>
      <w:r w:rsidRPr="002E3120">
        <w:rPr>
          <w:rFonts w:eastAsia="Times New Roman" w:cs="Times New Roman"/>
          <w:i/>
          <w:iCs/>
          <w:szCs w:val="24"/>
          <w:lang w:eastAsia="es-CO"/>
        </w:rPr>
        <w:t>Se establece en este artículo el régimen de transición por efectos al régimen de diferencia en cambio, las reglas establecidas son las siguientes:</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i/>
          <w:iCs/>
          <w:szCs w:val="24"/>
          <w:lang w:eastAsia="es-CO"/>
        </w:rPr>
        <w:t xml:space="preserve">Respecto de los activos y pasivos, los mismos mantendrán su valor patrimonial a 31 de </w:t>
      </w:r>
      <w:proofErr w:type="gramStart"/>
      <w:r w:rsidRPr="002E3120">
        <w:rPr>
          <w:rFonts w:eastAsia="Times New Roman" w:cs="Times New Roman"/>
          <w:i/>
          <w:iCs/>
          <w:szCs w:val="24"/>
          <w:lang w:eastAsia="es-CO"/>
        </w:rPr>
        <w:t>Diciembre</w:t>
      </w:r>
      <w:proofErr w:type="gramEnd"/>
      <w:r w:rsidRPr="002E3120">
        <w:rPr>
          <w:rFonts w:eastAsia="Times New Roman" w:cs="Times New Roman"/>
          <w:i/>
          <w:iCs/>
          <w:szCs w:val="24"/>
          <w:lang w:eastAsia="es-CO"/>
        </w:rPr>
        <w:t xml:space="preserve"> de 2016, siempre y cuando sean adquiridos a esa fecha. La regla respecto de los pagos a abonos será establecida en el régimen acá explicado en esta propuesta.</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i/>
          <w:iCs/>
          <w:szCs w:val="24"/>
          <w:lang w:eastAsia="es-CO"/>
        </w:rPr>
        <w:t>Frente a las inversiones en acciones o participaciones extranjeras que sean activos fijos, el costo de las mismas dependerá si fueron adquiridas antes o después del año 2015.</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i/>
          <w:iCs/>
          <w:szCs w:val="24"/>
          <w:lang w:eastAsia="es-CO"/>
        </w:rPr>
        <w:t>Si fueron antes del año 2015 el costo será el valor patrimonial a 1 de Enero de esas inversiones, aplicando las reglas general (sic) propuestas en este artículo a partir del 1 de enero de 2017.</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i/>
          <w:iCs/>
          <w:szCs w:val="24"/>
          <w:lang w:eastAsia="es-CO"/>
        </w:rPr>
        <w:t>Mientras que si se trataba de inversiones adquiridas a partir del año 2015, la regla será el para su medición con la TRM del reconocimiento inicial, y la diferencia de valor generado de esos activos a la TRM del 31 de diciembre de 2016 no genera ninguna incidencia de orden fiscal, y sólo en su momento de enajenación o liquidación deberá darse el tratamiento propuesto con antelación.</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ind w:left="180"/>
        <w:rPr>
          <w:rFonts w:eastAsia="Times New Roman" w:cs="Times New Roman"/>
          <w:szCs w:val="24"/>
          <w:lang w:eastAsia="es-CO"/>
        </w:rPr>
      </w:pPr>
      <w:r w:rsidRPr="002E3120">
        <w:rPr>
          <w:rFonts w:eastAsia="Times New Roman" w:cs="Times New Roman"/>
          <w:i/>
          <w:iCs/>
          <w:szCs w:val="24"/>
          <w:lang w:eastAsia="es-CO"/>
        </w:rPr>
        <w:t>La razón de ser de esta distinción obedece al tratamiento que consagró la ley 1739 de 2014, para este tipo de inversiones”.</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Atentamente,</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 </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b/>
          <w:bCs/>
          <w:szCs w:val="24"/>
          <w:lang w:eastAsia="es-CO"/>
        </w:rPr>
        <w:t>PEDRO PABLO CONTRERAS CAMARGO</w:t>
      </w:r>
    </w:p>
    <w:p w:rsidR="005F23A1" w:rsidRPr="002E3120" w:rsidRDefault="005F23A1" w:rsidP="005F23A1">
      <w:pPr>
        <w:spacing w:line="240" w:lineRule="auto"/>
        <w:rPr>
          <w:rFonts w:eastAsia="Times New Roman" w:cs="Times New Roman"/>
          <w:szCs w:val="24"/>
          <w:lang w:eastAsia="es-CO"/>
        </w:rPr>
      </w:pPr>
      <w:r w:rsidRPr="002E3120">
        <w:rPr>
          <w:rFonts w:eastAsia="Times New Roman" w:cs="Times New Roman"/>
          <w:szCs w:val="24"/>
          <w:lang w:eastAsia="es-CO"/>
        </w:rPr>
        <w:t>Subdirector de Gestión Normativa y Doctrina</w:t>
      </w:r>
    </w:p>
    <w:p w:rsidR="005F23A1" w:rsidRPr="002E3120" w:rsidRDefault="005F23A1" w:rsidP="005F23A1">
      <w:pPr>
        <w:spacing w:after="285" w:line="240" w:lineRule="auto"/>
        <w:jc w:val="left"/>
        <w:rPr>
          <w:rFonts w:eastAsia="Times New Roman" w:cs="Times New Roman"/>
          <w:szCs w:val="24"/>
          <w:lang w:eastAsia="es-CO"/>
        </w:rPr>
      </w:pPr>
      <w:r w:rsidRPr="002E3120">
        <w:rPr>
          <w:rFonts w:eastAsia="Times New Roman" w:cs="Times New Roman"/>
          <w:szCs w:val="24"/>
          <w:lang w:eastAsia="es-CO"/>
        </w:rPr>
        <w:t> </w:t>
      </w:r>
    </w:p>
    <w:p w:rsidR="00961BFA" w:rsidRPr="002E3120" w:rsidRDefault="00961BFA">
      <w:pPr>
        <w:rPr>
          <w:rFonts w:cs="Times New Roman"/>
          <w:szCs w:val="24"/>
        </w:rPr>
      </w:pPr>
    </w:p>
    <w:sectPr w:rsidR="00961BFA" w:rsidRPr="002E3120"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A1"/>
    <w:rsid w:val="0029351E"/>
    <w:rsid w:val="002E3120"/>
    <w:rsid w:val="005F23A1"/>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CA80C-C4B6-427F-8D32-8037CA1C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0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6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34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368" TargetMode="External"/><Relationship Id="rId11" Type="http://schemas.openxmlformats.org/officeDocument/2006/relationships/fontTable" Target="fontTable.xml"/><Relationship Id="rId5" Type="http://schemas.openxmlformats.org/officeDocument/2006/relationships/hyperlink" Target="https://www.ceta.org.co/html/vista_de_un_articulo.asp?Norma=368" TargetMode="External"/><Relationship Id="rId10" Type="http://schemas.openxmlformats.org/officeDocument/2006/relationships/hyperlink" Target="https://www.ceta.org.co/html/vista_de_un_articulo.asp?Norma=368" TargetMode="External"/><Relationship Id="rId4" Type="http://schemas.openxmlformats.org/officeDocument/2006/relationships/hyperlink" Target="mailto:Ricardo.bedout@gmail.com" TargetMode="External"/><Relationship Id="rId9" Type="http://schemas.openxmlformats.org/officeDocument/2006/relationships/hyperlink" Target="https://www.ceta.org.co/html/vista_de_un_articulo.asp?Norma=3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4296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2017-08-20T15:54:00Z</dcterms:created>
  <dcterms:modified xsi:type="dcterms:W3CDTF">2017-08-20T20:40:00Z</dcterms:modified>
</cp:coreProperties>
</file>